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 Вопросы преемственности в содержании и методологии данных документов особенно актуальны для воспитателей и учителей начальных классов.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Ребенок впервые включается в систему образования, поступая в детский сад, потом впервые приходит на новую образовательную ступень – начальную школу. Именно в этот переходный момент – «подушкой безопасности» должна стать преемственность учреждений.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Детский сад должен стать фундаментом, а школа зданием.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3сл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95092" w:rsidRPr="00395092" w:rsidTr="003950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bookmarkStart w:id="0" w:name="6113be56971ff32a3aaac8f6278ba906276c7f68"/>
            <w:bookmarkStart w:id="1" w:name="3"/>
            <w:bookmarkEnd w:id="0"/>
            <w:bookmarkEnd w:id="1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Единая теоретическая основа ФГОС </w:t>
            </w:r>
            <w:proofErr w:type="gramStart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ДО</w:t>
            </w:r>
            <w:proofErr w:type="gramEnd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и ФГОС НОО - </w:t>
            </w:r>
            <w:proofErr w:type="spellStart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системно-деятельностный</w:t>
            </w:r>
            <w:proofErr w:type="spellEnd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подход: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 -воспитание и развитие качеств личности;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-формирование готовности к саморазвитию и непрерывному образованию; 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-активная познавательная деятельность детей; 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-построение образовательного процесса с учетом индивидуальных возрастных, психологических и физиологических особенностей обучающихся.</w:t>
            </w:r>
          </w:p>
        </w:tc>
      </w:tr>
    </w:tbl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В основу ФГОС 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ДО</w:t>
      </w:r>
      <w:proofErr w:type="gram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и ФГОС НОО 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положена</w:t>
      </w:r>
      <w:proofErr w:type="gram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единая теоретическая основа - </w:t>
      </w:r>
      <w:proofErr w:type="spell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системно-деятельностный</w:t>
      </w:r>
      <w:proofErr w:type="spell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подход, который предполагает - воспитание и развитие качеств личности, формирование готовности к саморазвитию и непрерывному образованию; активную познавательную деятельность детей; построение образовательного процесса с учетом индивидуальных возрастных, психологических и физиологических особенностей обучающихся.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Главное предназначение ФГОС 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ДО</w:t>
      </w:r>
      <w:proofErr w:type="gram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и ФГОС НОО - 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формулировка</w:t>
      </w:r>
      <w:proofErr w:type="gram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и обеспечение устанавливаемых на федеральном уровне системы взаимосвязанных требований: к структуре, условиям и результатам реализации основных образовательных программ.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Прежде всего, следует обратить внимание на анализ преемственности в методологии и структуре ФГОС 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ДО</w:t>
      </w:r>
      <w:proofErr w:type="gram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и ФГОС НОО.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4сл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95092" w:rsidRPr="00395092" w:rsidTr="003950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bookmarkStart w:id="2" w:name="f707425fd57024b3e2d601f9d4c8a27c9f6198d4"/>
            <w:bookmarkStart w:id="3" w:name="4"/>
            <w:bookmarkEnd w:id="2"/>
            <w:bookmarkEnd w:id="3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Преемственность ФГОС </w:t>
            </w:r>
            <w:proofErr w:type="gramStart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ДО</w:t>
            </w:r>
            <w:proofErr w:type="gramEnd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и ФГОС НОО 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1.Единый структурно-организационный подход-это совокупность требований </w:t>
            </w:r>
            <w:proofErr w:type="gramStart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</w:t>
            </w:r>
            <w:proofErr w:type="gramEnd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: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-условиям реализации стандарта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-структурно-содержательным компонентам основной образовательной программы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 образовательным результатам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2. Единый психолого-педагогический методологический подход: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- ориентация на </w:t>
            </w:r>
            <w:proofErr w:type="spellStart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деятельностный</w:t>
            </w:r>
            <w:proofErr w:type="spellEnd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подход и понятие «ведущей деятельности»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 опора на зону актуального развития и ориентация на зону ближайшего развития ребёнка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-понятие об универсальных учебных действиях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 ориентация на возрастные психофизиологические особенности детей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3. Принцип организации инклюзивного образования: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-минимальная регламентация образования детей, имеющих ОВЗ, детей-инвалидов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 разработка адаптированных (индивидуальных) образовательных программ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-опора на индивидуальную программу реабилитации -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4. Направленность основных образовательных программ </w:t>
            </w:r>
            <w:proofErr w:type="gramStart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ДО</w:t>
            </w:r>
            <w:proofErr w:type="gramEnd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и НОО на: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 формирование и развитие основ духовно-нравственной культуры, личностное и интеллектуальное развитие детей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-процесс успешной социализации ребёнка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 развитие творческих способностей, инициативы, самосовершенствования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 сохранение и укрепление здоровья детей</w:t>
            </w:r>
          </w:p>
        </w:tc>
      </w:tr>
    </w:tbl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Преемственность </w:t>
      </w:r>
      <w:proofErr w:type="spell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ФГОСов</w:t>
      </w:r>
      <w:proofErr w:type="spell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дошкольного и начального общего </w:t>
      </w:r>
      <w:proofErr w:type="spellStart"/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общего</w:t>
      </w:r>
      <w:proofErr w:type="spellEnd"/>
      <w:proofErr w:type="gram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образования: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1. единый структурно-организационный подход, заключающийся в совокупности требований 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к</w:t>
      </w:r>
      <w:proofErr w:type="gram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: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условиям реализации стандарта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структурно-содержательным компонентам основной образовательной программы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lastRenderedPageBreak/>
        <w:t>• образовательным результатам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2. единый психолого-педагогический методологический подход: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• ориентация на </w:t>
      </w:r>
      <w:proofErr w:type="spell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деятельностный</w:t>
      </w:r>
      <w:proofErr w:type="spell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подход и понятие «ведущей деятельности»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опора на зону актуального развития и ориентация на зону ближайшего развития ребёнка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понятие об универсальных учебных действиях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ориентация на возрастные психофизиологические особенности детей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3. принцип организации инклюзивного образования: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минимальная регламентация образования детей, имеющих ОВЗ, детей-инвалидов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разработка адаптированных (в некоторых случаях индивидуальных) образовательных программ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опора на индивидуальную программу реабилитации (при организации специальных образовательных условий для детей-инвалидов)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4. направленность основных образовательных программ 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ДО</w:t>
      </w:r>
      <w:proofErr w:type="gram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и НОО: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формирование и развитие основ духовно-нравственной культуры, личностное и интеллектуальное развитие детей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процесс успешной социализации ребёнка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развитие творческих способностей, инициативы, самосовершенствования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сохранение и укрепление здоровья детей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Если мы обратим внимание на содержательные стороны проекта ФГОС дошкольного образования и ФГОС начального общего образования, то убедимся в наличии преемственности между областями на дошкольной ступени и ступени начальной школы. Пять 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образовательных областей,  обозначенных в проекте ФГОС дошкольного образования имеют</w:t>
      </w:r>
      <w:proofErr w:type="gram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прямую проекцию на предметы основной образовательной программы начального общего образования.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5 сл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176"/>
      </w:tblGrid>
      <w:tr w:rsidR="00395092" w:rsidRPr="00395092" w:rsidTr="003950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bookmarkStart w:id="4" w:name="3cda2c9572dfa080ca7d5ab5136c5b9497f4265d"/>
            <w:bookmarkStart w:id="5" w:name="5"/>
            <w:bookmarkEnd w:id="4"/>
            <w:bookmarkEnd w:id="5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Требования к результатам освоения программы.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Основной результат-это социализация детей.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Будут оцениваться: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1.Результаты социализации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2.Личностные результаты развития </w:t>
            </w:r>
            <w:proofErr w:type="spellStart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ребёнка</w:t>
            </w:r>
            <w:proofErr w:type="gramStart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,а</w:t>
            </w:r>
            <w:proofErr w:type="spellEnd"/>
            <w:proofErr w:type="gramEnd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не результаты обучения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ФГОС НОО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3 группы </w:t>
            </w:r>
            <w:proofErr w:type="spellStart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результаттов</w:t>
            </w:r>
            <w:proofErr w:type="spellEnd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: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-предметные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proofErr w:type="spellStart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Метапредметные</w:t>
            </w:r>
            <w:proofErr w:type="spellEnd"/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-личностные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ФГОС ДО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1 группа результатов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-личностные</w:t>
            </w:r>
          </w:p>
        </w:tc>
      </w:tr>
    </w:tbl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Вывод: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Результаты освоения ООП 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ДО</w:t>
      </w:r>
      <w:proofErr w:type="gram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сформулированы</w:t>
      </w:r>
      <w:proofErr w:type="gram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как целевые ориентиры и не подлежат непосредственной оценке, не являются основанием для сравнения с реальными результатами детей.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Результаты освоения ООП НОО: личностные (не подлежат индивидуальной персонифицированной оценке, </w:t>
      </w:r>
      <w:proofErr w:type="spell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метапредметные</w:t>
      </w:r>
      <w:proofErr w:type="spell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(универсальные учебные действия) и предметные результаты подлежат промежуточной и итоговой индивидуальной оценке)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Освоение Программы в ДОУ не сопровождается проведением промежуточных аттестаций и итоговой аттестации воспитанников.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6сл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22"/>
      </w:tblGrid>
      <w:tr w:rsidR="00395092" w:rsidRPr="00395092" w:rsidTr="003950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bookmarkStart w:id="6" w:name="d315416d1f9dd1dcffa424ed8aa8e27385b1fdb4"/>
            <w:bookmarkStart w:id="7" w:name="6"/>
            <w:bookmarkEnd w:id="6"/>
            <w:bookmarkEnd w:id="7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Основные задачи сотрудничества ДОУ и школы</w:t>
            </w:r>
            <w:proofErr w:type="gramStart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:</w:t>
            </w:r>
            <w:proofErr w:type="gramEnd"/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- единства стремлений и взглядов 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  общие цели и воспитательные задачи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- создание условий 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lastRenderedPageBreak/>
              <w:t>- всестороннее психолого-педагогическое просвещение родителей</w:t>
            </w:r>
          </w:p>
        </w:tc>
      </w:tr>
    </w:tbl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lastRenderedPageBreak/>
        <w:t>Основными задачами сотрудничества ДОУ и школы являются: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установление единства стремлений и взглядов на воспитательный процесс между детским садом, семьей и школой;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выработка общих целей и воспитательных задач, путей достижения намеченных результатов;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создание условий для благоприятного взаимодействия всех участников воспитательно-образовательного процесса – воспитателей, учителей, детей и родителей;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всестороннее психолого-педагогическое просвещение родителей;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оказание психологической помощи в осознании собственных семейных и социальных ресурсов, способствующих преодолению проблем при поступлении ребенка в школу;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формирование в семьях позитивного отношения к активной общественной и социальной деятельности детей.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7сл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936"/>
      </w:tblGrid>
      <w:tr w:rsidR="00395092" w:rsidRPr="00395092" w:rsidTr="003950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bookmarkStart w:id="8" w:name="dc66093086f4e064ca352cc5bf1dbe236df0dd6f"/>
            <w:bookmarkStart w:id="9" w:name="7"/>
            <w:bookmarkEnd w:id="8"/>
            <w:bookmarkEnd w:id="9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Проблемы преемственности ФГОС </w:t>
            </w:r>
            <w:proofErr w:type="gramStart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ДО</w:t>
            </w:r>
            <w:proofErr w:type="gramEnd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и ФГОС НОО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 отсутствие преемственных программ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-подготовка детей, не  посещающих ДОУ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-учреждения, где используют программы, не требующие жёстких стандартов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-отсутствие в программах сносок, ссылок</w:t>
            </w:r>
          </w:p>
        </w:tc>
      </w:tr>
    </w:tbl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Актуальность и своевременность решения проблемы преемственности дошкольного и начального образования ни у кого не вызывает сомнений, однако на практике до сих пор наблюдается нарушение преемственных связей по основным компонентам образовательной системы.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Это: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Отсутствие преемственных программ дошкольного и начального образования.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Подготовка детей, не охваченных дошкольным образованием.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Большое многообразие видов и типов учреждений, где используют самые различные программы, и реализация данных программ не требует жестких стандартов.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Отсутствие в программах сносок, ссылок на регион.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8сл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231"/>
      </w:tblGrid>
      <w:tr w:rsidR="00395092" w:rsidRPr="00395092" w:rsidTr="003950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bookmarkStart w:id="10" w:name="64bea2918e153eaca8de6db6856d91ba1da798ef"/>
            <w:bookmarkStart w:id="11" w:name="8"/>
            <w:bookmarkEnd w:id="10"/>
            <w:bookmarkEnd w:id="11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Работа по преемственности детского сада и школы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-методическая работа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-работа с детьми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-работа с родителями</w:t>
            </w:r>
          </w:p>
        </w:tc>
      </w:tr>
    </w:tbl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Очень важно, чтобы преемственность дошкольного и начального образования осуществлялась в соответствии с теми идеями, которые отражены в ФГОС дошкольного и начального общего образования.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Работу по преемственности детского сада со школой целесообразно осуществлять по трем основным направлениям: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методическая работа с педагогами (ознакомление с требованиями ФГОС к выпускнику, обсуждение критериев “портрета выпускника”, поиск путей их разрешения, изучение и обмен образовательных технологий, используемых педагогами ДОУ и школы и др.)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;</w:t>
      </w:r>
      <w:proofErr w:type="gramEnd"/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работа с детьми (знакомство детей со школой, учителями, организация совместных мероприятий)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;</w:t>
      </w:r>
      <w:proofErr w:type="gramEnd"/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работа с родителями (получение информации, необходимой для подготовки детей к школе, консультирование родителей по вопросам своевременного развития детей для успешного обучения в школе)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.</w:t>
      </w:r>
      <w:proofErr w:type="gramEnd"/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bookmarkStart w:id="12" w:name="h.gjdgxs"/>
      <w:bookmarkEnd w:id="12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9сл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95092" w:rsidRPr="00395092" w:rsidTr="003950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bookmarkStart w:id="13" w:name="59964728745c2694401a77429104996ac417d60e"/>
            <w:bookmarkStart w:id="14" w:name="9"/>
            <w:bookmarkEnd w:id="13"/>
            <w:bookmarkEnd w:id="14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Программа сотрудничества начальной школы и детского сада (Программа преемственности)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Цель  Программы: 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реализовать единую линию развития ребенка на этапах дошкольного и начального </w:t>
            </w: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lastRenderedPageBreak/>
              <w:t>школьного детства, придав педагогическому процессу целостный последовательный и перспективный характер.</w:t>
            </w:r>
          </w:p>
        </w:tc>
      </w:tr>
    </w:tbl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lastRenderedPageBreak/>
        <w:t>Чтобы решить проблему преемственности необходимо разработать Программу сотрудничества начальной школы и детского сада.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Цель данной Программы: 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реализовать единую линию развития ребенка на этапах дошкольного и начального школьного детства, придав педагогическому процессу целостный последовательный и перспективный характер.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10сл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369"/>
      </w:tblGrid>
      <w:tr w:rsidR="00395092" w:rsidRPr="00395092" w:rsidTr="003950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bookmarkStart w:id="15" w:name="44cb7a30e17e0a40d8bdfad3a1929e65c72df174"/>
            <w:bookmarkStart w:id="16" w:name="10"/>
            <w:bookmarkEnd w:id="15"/>
            <w:bookmarkEnd w:id="16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Формы работы с детьми по осуществлению преемственности: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-экскурсии в школу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-совместные праздники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-участие в совместной образовательной деятельности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</w:t>
            </w:r>
            <w:proofErr w:type="spellStart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сосовместные</w:t>
            </w:r>
            <w:proofErr w:type="spellEnd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праздники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Встречи дошкольников и школьников</w:t>
            </w:r>
          </w:p>
        </w:tc>
      </w:tr>
    </w:tbl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Формы осуществления преемственности могут быть разнообразными, и их выбор обусловлен степенью взаимосвязи, стилем, содержанием взаимоотношений участников образовательного процесса.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Формы осуществления преемственности: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1. Работа с детьми: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экскурсии в школу;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посещение школьного музея, библиотеки;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знакомство и взаимодействие дошкольников с учителями и учениками начальной школы;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участие в совместной образовательной деятельности, игровых программах, проектной деятельности;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выставки рисунков и поделок;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встречи и беседы с бывшими воспитанниками детского сада (ученики начальной и средней школы)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;</w:t>
      </w:r>
      <w:proofErr w:type="gramEnd"/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совместные праздники (День знаний, посвящение в первоклассники, выпускной в детском саду и др.) и спортивные соревнования дошкольников и первоклассников;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участие в театрализованной деятельности;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посещение дошкольниками адаптационного курса занятий, организованных при школе (занятия с психологом, логопедом, музыкальным руководителем и др. специалистами школы)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.</w:t>
      </w:r>
      <w:proofErr w:type="gramEnd"/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11сл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634"/>
      </w:tblGrid>
      <w:tr w:rsidR="00395092" w:rsidRPr="00395092" w:rsidTr="003950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bookmarkStart w:id="17" w:name="5b65efe1b51fd89690a9286dd7abdbdf33be3589"/>
            <w:bookmarkStart w:id="18" w:name="11"/>
            <w:bookmarkEnd w:id="17"/>
            <w:bookmarkEnd w:id="18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Взаимодействие педагогов по осуществлению преемственности: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-совместные педсоветы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-семинары, мастер-классы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-педагогические и психологические наблюдения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-открытые уроки и т.д.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-взаимодействие медработников, психологов ДОУ и школы</w:t>
            </w:r>
          </w:p>
        </w:tc>
      </w:tr>
    </w:tbl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2. Взаимодействие педагогов: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совместные педагогические советы (ДОУ и школа)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;</w:t>
      </w:r>
      <w:proofErr w:type="gramEnd"/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семинары, мастер- классы;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круглые столы педагогов ДОУ и учителей школы;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психологические и коммуникативные тренинги для воспитателей и учителей;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проведение диагностики по определению готовности детей к школе;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взаимодействие медицинских работников, психологов ДОУ и школы;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открытые показы образовательной деятельности в ДОУ и открытых уроков в школе;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педагогические и психологические наблюдения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12сл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997"/>
      </w:tblGrid>
      <w:tr w:rsidR="00395092" w:rsidRPr="00395092" w:rsidTr="003950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bookmarkStart w:id="19" w:name="016cd1debf5bd974822aa230956e38b61f6c38dd"/>
            <w:bookmarkStart w:id="20" w:name="12"/>
            <w:bookmarkEnd w:id="19"/>
            <w:bookmarkEnd w:id="20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lastRenderedPageBreak/>
              <w:t>Сотрудничество с родителями по осуществлению преемственности: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-совместные родительские собрания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-консультации с педагогами ДОУ и школы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-встречи с будущими учителями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-анкетирование, тестирование родителей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-дни открытых дверей</w:t>
            </w:r>
          </w:p>
        </w:tc>
      </w:tr>
    </w:tbl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Важную роль в преемственности дошкольного и начального образования играет сотрудничество с родителями: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3. Сотрудничество с родителями: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совместные родительские собрания с педагогами ДОУ и учителями школы;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круглые столы, дискуссионные встречи, педагогические «гостиные»;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родительские конференции, вечера вопросов и ответов;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консультации с педагогами ДОУ и школы;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встречи родителей с будущими учителями;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дни открытых дверей;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творческие мастерские;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анкетирование, тестирование родителей для изучения самочувствия семьи в преддверии школьной жизни ребенка и в период адаптации к школе;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• образовательно-игровые тренинги и практикумы для родителей детей </w:t>
      </w:r>
      <w:proofErr w:type="spell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предшкольного</w:t>
      </w:r>
      <w:proofErr w:type="spell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возраста, деловые игры, практикумы;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семейные вечера, тематические досуги;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визуальные средства общения (стендовый материал, выставки, почтовый ящик вопросов и ответов и др.)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;</w:t>
      </w:r>
      <w:proofErr w:type="gramEnd"/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• заседания родительских клубов (занятия для родителей и для детско-родительских пар)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.</w:t>
      </w:r>
      <w:proofErr w:type="gramEnd"/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13сл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887"/>
      </w:tblGrid>
      <w:tr w:rsidR="00395092" w:rsidRPr="00395092" w:rsidTr="003950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bookmarkStart w:id="21" w:name="e63eb72ff04ece450b58faec977de800055064ea"/>
            <w:bookmarkStart w:id="22" w:name="13"/>
            <w:bookmarkEnd w:id="21"/>
            <w:bookmarkEnd w:id="22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Ожидаемые результаты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Комфортная преемственная предметно-развивающая образовательная среда: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-доступность образования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-открытость и привлекательность образования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-охрана и укрепление здоровья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-комфортность образования</w:t>
            </w:r>
          </w:p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-развитие интегративных качеств дошкольника</w:t>
            </w:r>
          </w:p>
        </w:tc>
      </w:tr>
    </w:tbl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Результатом реализации программы сотрудничества должно быть создание комфортной преемственной предметно-развивающей образовательной среды: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• 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обеспечивающей</w:t>
      </w:r>
      <w:proofErr w:type="gram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высокое качество образования, его доступность, открытость и привлекательность для обучающихся, воспитанников, их родителей (законных представителей) и всего общества, духовно-нравственное развитие и воспитание обучающихся и воспитанников;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• 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гарантирующей</w:t>
      </w:r>
      <w:proofErr w:type="gram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охрану и укрепление физического, психологического и социального здоровья обучающихся и воспитанников;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• </w:t>
      </w:r>
      <w:proofErr w:type="gramStart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комфортной</w:t>
      </w:r>
      <w:proofErr w:type="gramEnd"/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по отношению к обучающимся, воспитанникам (в том числе с ограниченными возможностями здоровья) и педагогическим работникам.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Результатом плодотворного сотрудничества педагогов начальной школы и дошкольного учреждения, родителей (законных представителей) воспитанников и обучающихся должно быть развитие интегративных качеств дошкольника, которые служат основой для формирования компетенций, необходимых для обучения в школе.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Введение утвержденных на государственном уровне стандартов образования существенно способствует обеспечению преемственности и перспективности повышения качества образования в целостной системе образования. </w:t>
      </w:r>
    </w:p>
    <w:p w:rsidR="00395092" w:rsidRPr="00395092" w:rsidRDefault="00395092" w:rsidP="00395092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39509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14сл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247"/>
      </w:tblGrid>
      <w:tr w:rsidR="00395092" w:rsidRPr="00395092" w:rsidTr="003950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95092" w:rsidRPr="00395092" w:rsidRDefault="00395092" w:rsidP="0039509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bookmarkStart w:id="23" w:name="4076891d7b87a0f5ef6bf7fa311e105c131c77c5"/>
            <w:bookmarkStart w:id="24" w:name="14"/>
            <w:bookmarkEnd w:id="23"/>
            <w:bookmarkEnd w:id="24"/>
            <w:r w:rsidRPr="003950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ФГОС  ДО-это обеспечение преемственности в целостной системе образования.</w:t>
            </w:r>
          </w:p>
        </w:tc>
      </w:tr>
    </w:tbl>
    <w:p w:rsidR="00861742" w:rsidRPr="00C824A7" w:rsidRDefault="00861742" w:rsidP="00395092">
      <w:pPr>
        <w:spacing w:after="0"/>
        <w:rPr>
          <w:lang w:val="ru-RU"/>
        </w:rPr>
      </w:pPr>
    </w:p>
    <w:sectPr w:rsidR="00861742" w:rsidRPr="00C824A7" w:rsidSect="0086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4A7"/>
    <w:rsid w:val="00290C28"/>
    <w:rsid w:val="00395092"/>
    <w:rsid w:val="006C4607"/>
    <w:rsid w:val="00861742"/>
    <w:rsid w:val="00C824A7"/>
    <w:rsid w:val="00CF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07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6C460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B2F2A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460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59473F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C460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775F55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607"/>
    <w:pPr>
      <w:pBdr>
        <w:bottom w:val="single" w:sz="4" w:space="1" w:color="BFADA5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9F8479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607"/>
    <w:pPr>
      <w:pBdr>
        <w:bottom w:val="single" w:sz="4" w:space="1" w:color="B29C93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9F8479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607"/>
    <w:pPr>
      <w:pBdr>
        <w:bottom w:val="dotted" w:sz="8" w:space="1" w:color="A07A35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A07A35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607"/>
    <w:pPr>
      <w:pBdr>
        <w:bottom w:val="dotted" w:sz="8" w:space="1" w:color="A07A35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A07A35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60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A07A35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60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A07A35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607"/>
    <w:rPr>
      <w:rFonts w:asciiTheme="majorHAnsi" w:eastAsiaTheme="majorEastAsia" w:hAnsiTheme="majorHAnsi" w:cstheme="majorBidi"/>
      <w:smallCaps/>
      <w:color w:val="3B2F2A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C4607"/>
    <w:rPr>
      <w:rFonts w:asciiTheme="majorHAnsi" w:eastAsiaTheme="majorEastAsia" w:hAnsiTheme="majorHAnsi" w:cstheme="majorBidi"/>
      <w:smallCaps/>
      <w:color w:val="59473F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C4607"/>
    <w:rPr>
      <w:rFonts w:asciiTheme="majorHAnsi" w:eastAsiaTheme="majorEastAsia" w:hAnsiTheme="majorHAnsi" w:cstheme="majorBidi"/>
      <w:smallCaps/>
      <w:color w:val="775F55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C4607"/>
    <w:rPr>
      <w:rFonts w:asciiTheme="majorHAnsi" w:eastAsiaTheme="majorEastAsia" w:hAnsiTheme="majorHAnsi" w:cstheme="majorBidi"/>
      <w:b/>
      <w:bCs/>
      <w:smallCaps/>
      <w:color w:val="9F8479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C4607"/>
    <w:rPr>
      <w:rFonts w:asciiTheme="majorHAnsi" w:eastAsiaTheme="majorEastAsia" w:hAnsiTheme="majorHAnsi" w:cstheme="majorBidi"/>
      <w:smallCaps/>
      <w:color w:val="9F8479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C4607"/>
    <w:rPr>
      <w:rFonts w:asciiTheme="majorHAnsi" w:eastAsiaTheme="majorEastAsia" w:hAnsiTheme="majorHAnsi" w:cstheme="majorBidi"/>
      <w:smallCaps/>
      <w:color w:val="A07A35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C4607"/>
    <w:rPr>
      <w:rFonts w:asciiTheme="majorHAnsi" w:eastAsiaTheme="majorEastAsia" w:hAnsiTheme="majorHAnsi" w:cstheme="majorBidi"/>
      <w:b/>
      <w:bCs/>
      <w:smallCaps/>
      <w:color w:val="A07A35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C4607"/>
    <w:rPr>
      <w:rFonts w:asciiTheme="majorHAnsi" w:eastAsiaTheme="majorEastAsia" w:hAnsiTheme="majorHAnsi" w:cstheme="majorBidi"/>
      <w:b/>
      <w:smallCaps/>
      <w:color w:val="A07A35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C4607"/>
    <w:rPr>
      <w:rFonts w:asciiTheme="majorHAnsi" w:eastAsiaTheme="majorEastAsia" w:hAnsiTheme="majorHAnsi" w:cstheme="majorBidi"/>
      <w:smallCaps/>
      <w:color w:val="A07A35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C4607"/>
    <w:rPr>
      <w:b/>
      <w:bCs/>
      <w:smallCaps/>
      <w:color w:val="775F55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6C460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59473F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6C4607"/>
    <w:rPr>
      <w:rFonts w:asciiTheme="majorHAnsi" w:eastAsiaTheme="majorEastAsia" w:hAnsiTheme="majorHAnsi" w:cstheme="majorBidi"/>
      <w:smallCaps/>
      <w:color w:val="59473F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C4607"/>
    <w:pPr>
      <w:spacing w:after="600" w:line="240" w:lineRule="auto"/>
      <w:ind w:left="0"/>
    </w:pPr>
    <w:rPr>
      <w:smallCaps/>
      <w:color w:val="A07A35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C4607"/>
    <w:rPr>
      <w:smallCaps/>
      <w:color w:val="A07A35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C4607"/>
    <w:rPr>
      <w:b/>
      <w:bCs/>
      <w:spacing w:val="0"/>
    </w:rPr>
  </w:style>
  <w:style w:type="character" w:styleId="a9">
    <w:name w:val="Emphasis"/>
    <w:uiPriority w:val="20"/>
    <w:qFormat/>
    <w:rsid w:val="006C460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C460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C46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C460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C4607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C4607"/>
    <w:pPr>
      <w:pBdr>
        <w:top w:val="single" w:sz="4" w:space="12" w:color="AEC8DD" w:themeColor="accent1" w:themeTint="BF"/>
        <w:left w:val="single" w:sz="4" w:space="15" w:color="AEC8DD" w:themeColor="accent1" w:themeTint="BF"/>
        <w:bottom w:val="single" w:sz="12" w:space="10" w:color="548AB7" w:themeColor="accent1" w:themeShade="BF"/>
        <w:right w:val="single" w:sz="12" w:space="15" w:color="548AB7" w:themeColor="accent1" w:themeShade="BF"/>
        <w:between w:val="single" w:sz="4" w:space="12" w:color="AEC8DD" w:themeColor="accent1" w:themeTint="BF"/>
        <w:bar w:val="single" w:sz="4" w:color="AEC8D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548AB7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6C4607"/>
    <w:rPr>
      <w:rFonts w:asciiTheme="majorHAnsi" w:eastAsiaTheme="majorEastAsia" w:hAnsiTheme="majorHAnsi" w:cstheme="majorBidi"/>
      <w:smallCaps/>
      <w:color w:val="548AB7" w:themeColor="accent1" w:themeShade="BF"/>
      <w:sz w:val="20"/>
      <w:szCs w:val="20"/>
    </w:rPr>
  </w:style>
  <w:style w:type="character" w:styleId="ae">
    <w:name w:val="Subtle Emphasis"/>
    <w:uiPriority w:val="19"/>
    <w:qFormat/>
    <w:rsid w:val="006C4607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6C4607"/>
    <w:rPr>
      <w:b/>
      <w:bCs/>
      <w:smallCaps/>
      <w:color w:val="94B6D2" w:themeColor="accent1"/>
      <w:spacing w:val="40"/>
    </w:rPr>
  </w:style>
  <w:style w:type="character" w:styleId="af0">
    <w:name w:val="Subtle Reference"/>
    <w:uiPriority w:val="31"/>
    <w:qFormat/>
    <w:rsid w:val="006C460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6C4607"/>
    <w:rPr>
      <w:rFonts w:asciiTheme="majorHAnsi" w:eastAsiaTheme="majorEastAsia" w:hAnsiTheme="majorHAnsi" w:cstheme="majorBidi"/>
      <w:b/>
      <w:bCs/>
      <w:i/>
      <w:iCs/>
      <w:smallCaps/>
      <w:color w:val="59473F" w:themeColor="text2" w:themeShade="BF"/>
      <w:spacing w:val="20"/>
    </w:rPr>
  </w:style>
  <w:style w:type="character" w:styleId="af2">
    <w:name w:val="Book Title"/>
    <w:uiPriority w:val="33"/>
    <w:qFormat/>
    <w:rsid w:val="006C4607"/>
    <w:rPr>
      <w:rFonts w:asciiTheme="majorHAnsi" w:eastAsiaTheme="majorEastAsia" w:hAnsiTheme="majorHAnsi" w:cstheme="majorBidi"/>
      <w:b/>
      <w:bCs/>
      <w:smallCaps/>
      <w:color w:val="59473F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C4607"/>
    <w:pPr>
      <w:outlineLvl w:val="9"/>
    </w:pPr>
  </w:style>
  <w:style w:type="paragraph" w:customStyle="1" w:styleId="c4">
    <w:name w:val="c4"/>
    <w:basedOn w:val="a"/>
    <w:rsid w:val="0039509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395092"/>
  </w:style>
  <w:style w:type="paragraph" w:customStyle="1" w:styleId="c1">
    <w:name w:val="c1"/>
    <w:basedOn w:val="a"/>
    <w:rsid w:val="0039509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7">
    <w:name w:val="c7"/>
    <w:basedOn w:val="a0"/>
    <w:rsid w:val="00395092"/>
  </w:style>
  <w:style w:type="character" w:customStyle="1" w:styleId="c9">
    <w:name w:val="c9"/>
    <w:basedOn w:val="a0"/>
    <w:rsid w:val="00395092"/>
  </w:style>
  <w:style w:type="character" w:customStyle="1" w:styleId="c29">
    <w:name w:val="c29"/>
    <w:basedOn w:val="a0"/>
    <w:rsid w:val="00395092"/>
  </w:style>
  <w:style w:type="character" w:customStyle="1" w:styleId="c18">
    <w:name w:val="c18"/>
    <w:basedOn w:val="a0"/>
    <w:rsid w:val="00395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</cp:revision>
  <dcterms:created xsi:type="dcterms:W3CDTF">2017-12-01T17:45:00Z</dcterms:created>
  <dcterms:modified xsi:type="dcterms:W3CDTF">2017-12-01T18:03:00Z</dcterms:modified>
</cp:coreProperties>
</file>