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97" w:rsidRPr="00400505" w:rsidRDefault="00C54BBF" w:rsidP="0040050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400505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 xml:space="preserve"> </w:t>
      </w:r>
      <w:r w:rsidR="00E34197" w:rsidRPr="00400505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«</w:t>
      </w:r>
      <w:r w:rsidR="001D62B9" w:rsidRPr="00400505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="0048090E" w:rsidRPr="00400505">
        <w:rPr>
          <w:rFonts w:ascii="Times New Roman" w:hAnsi="Times New Roman" w:cs="Times New Roman"/>
          <w:color w:val="FF0000"/>
          <w:sz w:val="32"/>
          <w:szCs w:val="32"/>
        </w:rPr>
        <w:t>ОБУЧЕНИЕ ДВИГАТЕЛЬНЫМ ДЕЙСТВИЯМ В ВОЛЕЙБОЛЕ НА ОСНОВЕ ТЕОРИИ УЧЕБНОЙ</w:t>
      </w:r>
      <w:r w:rsidR="0048090E" w:rsidRPr="00400505">
        <w:rPr>
          <w:rStyle w:val="apple-converted-space"/>
          <w:rFonts w:ascii="Times New Roman" w:hAnsi="Times New Roman" w:cs="Times New Roman"/>
          <w:color w:val="FF0000"/>
          <w:sz w:val="32"/>
          <w:szCs w:val="32"/>
        </w:rPr>
        <w:t> </w:t>
      </w:r>
      <w:r w:rsidR="0048090E" w:rsidRPr="00400505">
        <w:rPr>
          <w:rFonts w:ascii="Times New Roman" w:hAnsi="Times New Roman" w:cs="Times New Roman"/>
          <w:color w:val="FF0000"/>
          <w:sz w:val="32"/>
          <w:szCs w:val="32"/>
        </w:rPr>
        <w:br/>
        <w:t>ДЕЯТЕЛЬНОСТИ</w:t>
      </w:r>
      <w:r w:rsidR="0048090E" w:rsidRPr="00400505">
        <w:rPr>
          <w:rStyle w:val="apple-converted-space"/>
          <w:rFonts w:ascii="Verdana" w:hAnsi="Verdana"/>
          <w:color w:val="FF0000"/>
          <w:sz w:val="32"/>
          <w:szCs w:val="32"/>
        </w:rPr>
        <w:t> </w:t>
      </w:r>
      <w:r w:rsidR="00E34197" w:rsidRPr="00400505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»</w:t>
      </w:r>
    </w:p>
    <w:p w:rsidR="00E34197" w:rsidRDefault="00E34197" w:rsidP="00E3419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602FB" w:rsidRDefault="008602FB" w:rsidP="009173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14099" w:rsidRDefault="00B53905" w:rsidP="009173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390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89375" cy="2879725"/>
            <wp:effectExtent l="19050" t="0" r="0" b="0"/>
            <wp:docPr id="1" name="Рисунок 1" descr="Волейбол. Подготовка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3" descr="Волейбол. Подготовка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8E" w:rsidRDefault="0060118E" w:rsidP="0091733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0118E" w:rsidRDefault="0060118E" w:rsidP="0091733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3905" w:rsidRDefault="00B53905" w:rsidP="009173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B53905" w:rsidRDefault="00B53905" w:rsidP="009173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B53905" w:rsidRDefault="00B53905" w:rsidP="009173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B53905" w:rsidRDefault="00B53905" w:rsidP="009173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B53905" w:rsidRDefault="00B53905" w:rsidP="009173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B53905" w:rsidRDefault="00B53905" w:rsidP="009173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0C7E15" w:rsidRPr="0025608C" w:rsidRDefault="000C7E15" w:rsidP="000C7E15">
      <w:pPr>
        <w:spacing w:after="0"/>
        <w:jc w:val="center"/>
      </w:pPr>
    </w:p>
    <w:p w:rsidR="000C7E15" w:rsidRPr="0025608C" w:rsidRDefault="000C7E15" w:rsidP="000C7E15"/>
    <w:p w:rsidR="000C7E15" w:rsidRDefault="000C7E15" w:rsidP="00E862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037D0" w:rsidRDefault="006037D0" w:rsidP="00E862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037D0" w:rsidRDefault="006037D0" w:rsidP="00E862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037D0" w:rsidRDefault="006037D0" w:rsidP="00E862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037D0" w:rsidRDefault="006037D0" w:rsidP="00E862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037D0" w:rsidRDefault="006037D0" w:rsidP="00E862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037D0" w:rsidRDefault="006037D0" w:rsidP="00E862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037D0" w:rsidRDefault="006037D0" w:rsidP="00E862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037D0" w:rsidRDefault="006037D0" w:rsidP="00E862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037D0" w:rsidRDefault="006037D0" w:rsidP="00E862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037D0" w:rsidRDefault="006037D0" w:rsidP="00E862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037D0" w:rsidRDefault="006037D0" w:rsidP="00E862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C7E15" w:rsidRDefault="000C7E15" w:rsidP="00E862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C7E15" w:rsidRDefault="000C7E15" w:rsidP="00E862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C7E15" w:rsidRDefault="000C7E15" w:rsidP="00E862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0C7E15" w:rsidRDefault="000C7E15" w:rsidP="00E862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2D5FB4" w:rsidRDefault="002D5FB4" w:rsidP="002D5F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Введение</w:t>
      </w:r>
    </w:p>
    <w:p w:rsidR="005F42AA" w:rsidRPr="00400505" w:rsidRDefault="005F42AA" w:rsidP="005F42A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0505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 педагогического опыта.</w:t>
      </w:r>
    </w:p>
    <w:p w:rsidR="005F42AA" w:rsidRPr="005F42AA" w:rsidRDefault="005F42AA" w:rsidP="005F42AA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2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Волейбол как спортивная игра появилась в конце прошлого века в США. Современный волейбол – олимпийский и профессиональный – необыкновенно зрелищная и захватывающая игра. Это силовая подача в прыжке, мощный нападающий удар у сетки и с задней линии, виртуозные защитные действия при блокировании и в поле, сложные тактические комбинации с участием игроков передней и задней линии. </w:t>
      </w:r>
    </w:p>
    <w:p w:rsidR="005F42AA" w:rsidRPr="005F42AA" w:rsidRDefault="005F42AA" w:rsidP="005F42AA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2AA">
        <w:rPr>
          <w:rFonts w:ascii="Times New Roman" w:eastAsia="Calibri" w:hAnsi="Times New Roman" w:cs="Times New Roman"/>
          <w:color w:val="000000"/>
          <w:sz w:val="28"/>
          <w:szCs w:val="28"/>
        </w:rPr>
        <w:t>Стремясь придать волейболу спортивную направленность, игроки выбирают все новые технические приемы подачи и перебивание мяча на сторону противника. Подача мяча – это уже не только способ введения мяча в игру, но и средство нападения. С каждым годом волейбол приобретает все большую популярность, его включают в программу крупных спартакиад. Возникает необходимость координации всей работы по волейболу.</w:t>
      </w:r>
    </w:p>
    <w:p w:rsidR="005F42AA" w:rsidRPr="005F42AA" w:rsidRDefault="005F42AA" w:rsidP="005F42AA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42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Дальнейшее совершенствование техники и тактики волейбола тесно связано с поиском новых форм и методов учебно-тренировочной работы. Опыт показывает, что фундаментом дальнейшего развития волейбола в России является его массовость, т.е. чем больше молодежи мы привлекаем в этот вид спорта, тем дальше и выше наши показатели. </w:t>
      </w:r>
    </w:p>
    <w:p w:rsidR="005F42AA" w:rsidRPr="005F42AA" w:rsidRDefault="005F42AA" w:rsidP="005F42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2AA">
        <w:rPr>
          <w:rFonts w:ascii="Times New Roman" w:eastAsia="Calibri" w:hAnsi="Times New Roman" w:cs="Times New Roman"/>
          <w:color w:val="000000"/>
          <w:kern w:val="36"/>
          <w:sz w:val="28"/>
          <w:szCs w:val="28"/>
        </w:rPr>
        <w:t xml:space="preserve">Правильная организация учебной работы в секциях и в других коллективах, создает предпосылки к пополнению сборных команд молодыми способными волейболистами. К обучению игре волейбол, особенно в секциях следует привлекать детей с 10–12-летнего возраста. Для этого возраста характерно бурное развитие организма детей, увеличение роста, массы и силы мышц. </w:t>
      </w:r>
      <w:r w:rsidRPr="005F42AA">
        <w:rPr>
          <w:rFonts w:ascii="Times New Roman" w:eastAsia="Calibri" w:hAnsi="Times New Roman" w:cs="Times New Roman"/>
          <w:sz w:val="28"/>
          <w:szCs w:val="28"/>
        </w:rPr>
        <w:t xml:space="preserve">Волейбол одно из активных средств укрепления здоровья, физического и умственного развития </w:t>
      </w:r>
      <w:r w:rsidRPr="005F42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(быстрота мышления, умение принимать решения в быстро меняющихся ситуациях), повышения работоспособности и улучшения настроения. Занятия волейболом компенсируют дефицит двигательной активности, способствуя гармоничному развитию обучающихся. </w:t>
      </w:r>
      <w:r w:rsidRPr="005F42AA">
        <w:rPr>
          <w:rFonts w:ascii="Times New Roman" w:eastAsia="Calibri" w:hAnsi="Times New Roman" w:cs="Times New Roman"/>
          <w:color w:val="000000"/>
          <w:kern w:val="36"/>
          <w:sz w:val="28"/>
          <w:szCs w:val="28"/>
        </w:rPr>
        <w:t xml:space="preserve">Занятия волейболом вырабатывают такие ценные качества, как силу, ловкость, быстроту и выносливость, а все движения, применяемые при игре, носят естественные характер. </w:t>
      </w:r>
      <w:r w:rsidRPr="005F42AA">
        <w:rPr>
          <w:rFonts w:ascii="Times New Roman" w:eastAsia="Calibri" w:hAnsi="Times New Roman" w:cs="Times New Roman"/>
          <w:sz w:val="28"/>
          <w:szCs w:val="28"/>
        </w:rPr>
        <w:t xml:space="preserve">Достоинство волейбола в его простоте, эмоциональности и зрелищности. </w:t>
      </w:r>
    </w:p>
    <w:p w:rsidR="005F42AA" w:rsidRPr="005F42AA" w:rsidRDefault="005F42AA" w:rsidP="005F42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2AA">
        <w:rPr>
          <w:rFonts w:ascii="Times New Roman" w:eastAsia="Calibri" w:hAnsi="Times New Roman" w:cs="Times New Roman"/>
          <w:sz w:val="28"/>
          <w:szCs w:val="28"/>
        </w:rPr>
        <w:t xml:space="preserve">Секрет популярности волейбола в том, что доступен всем. Все движения в волейболе носят естественный характер, основанные на беге, прыжках, метаниях. </w:t>
      </w:r>
      <w:r w:rsidRPr="005F42AA">
        <w:rPr>
          <w:rFonts w:ascii="Times New Roman" w:eastAsia="Calibri" w:hAnsi="Times New Roman" w:cs="Times New Roman"/>
          <w:sz w:val="28"/>
          <w:szCs w:val="28"/>
        </w:rPr>
        <w:tab/>
        <w:t>Популярность волейбола делает его значительным средством пропаганды физической культуры и спорта.</w:t>
      </w:r>
    </w:p>
    <w:p w:rsidR="005F42AA" w:rsidRPr="00400505" w:rsidRDefault="00400505" w:rsidP="005F42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kern w:val="36"/>
          <w:sz w:val="28"/>
          <w:szCs w:val="28"/>
        </w:rPr>
      </w:pPr>
      <w:r w:rsidRPr="00400505">
        <w:rPr>
          <w:rFonts w:ascii="Times New Roman" w:eastAsia="Calibri" w:hAnsi="Times New Roman" w:cs="Times New Roman"/>
          <w:color w:val="000000"/>
          <w:kern w:val="36"/>
          <w:sz w:val="28"/>
          <w:szCs w:val="28"/>
        </w:rPr>
        <w:t>Цель проекта</w:t>
      </w:r>
      <w:r>
        <w:rPr>
          <w:rFonts w:ascii="Times New Roman" w:eastAsia="Calibri" w:hAnsi="Times New Roman" w:cs="Times New Roman"/>
          <w:color w:val="000000"/>
          <w:kern w:val="36"/>
          <w:sz w:val="28"/>
          <w:szCs w:val="28"/>
        </w:rPr>
        <w:t xml:space="preserve"> </w:t>
      </w:r>
      <w:r w:rsidRPr="00400505">
        <w:rPr>
          <w:rFonts w:ascii="Times New Roman" w:eastAsia="Calibri" w:hAnsi="Times New Roman" w:cs="Times New Roman"/>
          <w:color w:val="000000"/>
          <w:kern w:val="36"/>
          <w:sz w:val="28"/>
          <w:szCs w:val="28"/>
        </w:rPr>
        <w:t xml:space="preserve">- </w:t>
      </w:r>
      <w:r w:rsidRPr="00400505">
        <w:rPr>
          <w:rFonts w:ascii="Times New Roman" w:eastAsia="Calibri" w:hAnsi="Times New Roman" w:cs="Times New Roman"/>
          <w:sz w:val="28"/>
          <w:szCs w:val="28"/>
        </w:rPr>
        <w:t>Совершенствование методики обучения двигательным навыкам в волейболе на основе системы развивающего обучения с использованием теории учебной деятельности</w:t>
      </w:r>
    </w:p>
    <w:p w:rsidR="00840D77" w:rsidRPr="00400505" w:rsidRDefault="00840D77" w:rsidP="00840D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505">
        <w:rPr>
          <w:rFonts w:ascii="Times New Roman" w:hAnsi="Times New Roman" w:cs="Times New Roman"/>
          <w:b/>
          <w:bCs/>
          <w:sz w:val="28"/>
          <w:szCs w:val="28"/>
        </w:rPr>
        <w:t>Аннотация проекта</w:t>
      </w:r>
    </w:p>
    <w:p w:rsidR="00840D77" w:rsidRPr="0031468F" w:rsidRDefault="00840D77" w:rsidP="00840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ДЮСШ</w:t>
      </w:r>
      <w:r w:rsidRPr="0031468F">
        <w:rPr>
          <w:rFonts w:ascii="Times New Roman" w:hAnsi="Times New Roman" w:cs="Times New Roman"/>
          <w:bCs/>
          <w:sz w:val="28"/>
          <w:szCs w:val="28"/>
        </w:rPr>
        <w:t xml:space="preserve"> - база знаний, спортивные достижения  и  стимуляция  двигательной активности.</w:t>
      </w:r>
    </w:p>
    <w:p w:rsidR="00840D77" w:rsidRPr="0031468F" w:rsidRDefault="00840D77" w:rsidP="00840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1468F">
        <w:rPr>
          <w:rFonts w:ascii="Times New Roman" w:hAnsi="Times New Roman" w:cs="Times New Roman"/>
          <w:bCs/>
          <w:sz w:val="28"/>
          <w:szCs w:val="28"/>
        </w:rPr>
        <w:t xml:space="preserve">На основе приобретенных воспитанниками  базовых теоретических  и  практических  знаний достигается осознанное, устойчивое овладение определенными техническими и тактическими умениями и навыками,  позволяющее сформировать привычку к ежедневной двигательной деятельности, систематическим тренировкам и достижению высоких результатов. </w:t>
      </w:r>
    </w:p>
    <w:p w:rsidR="0048090E" w:rsidRPr="00840D77" w:rsidRDefault="00840D77" w:rsidP="00840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1468F">
        <w:rPr>
          <w:rFonts w:ascii="Times New Roman" w:hAnsi="Times New Roman" w:cs="Times New Roman"/>
          <w:bCs/>
          <w:sz w:val="28"/>
          <w:szCs w:val="28"/>
        </w:rPr>
        <w:t xml:space="preserve">Данный проект направлен на формирование  необходимых специальных  знаний  в области теоретической, технической и тактической подготовки,  которые   способствуют   улучшению результатов  физического  развития, физической  подготовленности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высоких спортивных результатов;  </w:t>
      </w:r>
      <w:r w:rsidRPr="0031468F">
        <w:rPr>
          <w:rFonts w:ascii="Times New Roman" w:hAnsi="Times New Roman" w:cs="Times New Roman"/>
          <w:bCs/>
          <w:sz w:val="28"/>
          <w:szCs w:val="28"/>
        </w:rPr>
        <w:t>Создание  прозрачной  системы  мониторинга  с целью  дифференциации и  индивидуализации  системы  физического  развития  и  подготовки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2D5FB4" w:rsidRPr="00840D77">
        <w:rPr>
          <w:rFonts w:ascii="Times New Roman" w:eastAsia="Calibri" w:hAnsi="Times New Roman" w:cs="Times New Roman"/>
          <w:sz w:val="28"/>
          <w:szCs w:val="28"/>
        </w:rPr>
        <w:t>Совершенствование методики обучения двигательным навыкам в волейболе на основе системы развивающего обучения с использованием теории учебной деятельности.</w:t>
      </w:r>
    </w:p>
    <w:p w:rsidR="0048090E" w:rsidRPr="005F42AA" w:rsidRDefault="0048090E" w:rsidP="0048090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42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Актуальность.</w:t>
      </w:r>
    </w:p>
    <w:p w:rsidR="0048090E" w:rsidRDefault="0048090E" w:rsidP="0048090E">
      <w:pPr>
        <w:ind w:left="34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Оптимизация двигательных действий является одной из актуальных задач теории и методики спортивной тренировки, а неуклонное повышение уровня спортивных достижений вызывает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необходимость поиска новых, более эффективных путей спортивной подготовки. В настоящее время тренировочный процесс носит преимущественно репродуктивный характер, не учитывая в должной мере личность учителя и ученика, их содержательное сотрудничество. При этом в решении триединой задачи «р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азвитие-обучение-воспитание»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используются методики, основанные во многом на эмпирических подходах с использованием репродуктивных методов, что в целом недостаточно содействует разностороннему развитию личности школьников, их творческого мышления. В теории и методике обучения в волейболе, являющемся в двигательном плане одним из наиболее сложных видов спорта, крайне мало уделяется внимания теории содержания развивающего обучения. Традиционная методика в основном опирается на заучивание двигательных действий в строго регламентированных условиях. После чего следует этап использования его в различных ситуациях. Это закрепляет выполнение двигательного действия в конкретных типовых условиях и серьезно мешает его обобщению и применению в нестандартных ситуациях.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Постановка задачи.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C4F20" w:rsidRDefault="0048090E" w:rsidP="0048090E">
      <w:pPr>
        <w:ind w:left="34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возможных и перспективных направлений в совершенствовании методики двигательного обучения в спорте является использование разра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боток отечественных ученых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развивающего обучения и теории учебной деятельности. В отличие от теории традиционного обучения в теории учебной деятельности предполагается переход в обучении от общего к частному на основе трех основных положений: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усвоение учащимися теоретических знаний и соответствующих им умений и навыков происходит при решении учебных задач;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главным методом обучения должен стать метод введения учащихся в ситуацию учебных задач орга-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низации учебных действий, т. е. метод решения ими учебных задач;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решение таких задач позволяет школьникам усваивать нечто «общее» еще до освоения его частных проявлений.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Методика, основанная на положениях теории учебной деятельности, опирается на ассоциативное, теоретическое обучение, в основе которого лежат ассоциации, наглядность в сочетании со словом, идя в упражнениях от общего к частному. Исследования, рассматривавшие проблемы совершенствования методики двигательного обучения и повышения его эффективности, показали, что использование учебных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задач для развития у детей общих качеств их двигательной сферы создают благоприятные условия для последующего усвоения различных двигательных умений и активизации их мыслительной деятельности в процессе обучения двигательным действиям.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представляемом исследовании ставилась задача использовать данные концепции при обучении двигательным действиям в волейболе, которая ранее в отечественной и зарубежной литературе не рассматривалась. Исследование предполагало разработку практической методики обучения двигательным действиям в волейболе и проверка ее эффективности в условиях естественного пе</w:t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дагогического эксперимента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Проведение исследований.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090E" w:rsidRDefault="0048090E" w:rsidP="0048090E">
      <w:pPr>
        <w:ind w:left="34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Суть предложенной</w:t>
      </w:r>
      <w:r w:rsidR="005F4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мной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методики обучения двигательным действиям принципиально отличается от общепринятой в настоящее время в спортивных школах методики тем, что при построении использовался дедуктивный путь. Этот путь предлагает построить обучение от «общего к частному». </w:t>
      </w:r>
    </w:p>
    <w:p w:rsidR="00CC4F20" w:rsidRDefault="0048090E" w:rsidP="0048090E">
      <w:pPr>
        <w:ind w:left="340"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решения задач педагогического эксперимента были определены контрольная и экспериментальная группы численностью каждая по 15 </w:t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Подбор испытуемых осуществлялся способом случайной выборки на основе возрастных данных. </w:t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контрольной группы на протяжении всего эксперимента занимались по общепринятой методике примерно одинаковым объемом нагрузок и дозировкой упражнений. Экспериментальная группа занималась по методике, разработанной на основе теории учебной деятельности.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Динамика физической подготовленности испытуемых за период педагогического эксперимента и эффективность разработанной методики оценивались по тестированию уровня развития скоростных, скоростно-силовых и координационных качеств: в беге на 30 м с высокого старта, при сгибании рук лежа в упоре и в прыжках в длину с места, броску набивного мяча весом 1 кг и в челночном беге 5x6 м с высокого старта. Проводилась оценка основных технических приемов в волейболе: верхняя прямая подача - количество выполненных правильно из 5 попыток, передача сверху и снизу - количество выполненных правильно и точно в 3-ю зону после наброса через сетку из 5 попыток, прямой нападающий удар в прыжке -</w:t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выполненных правильно из 5 попыток.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эффективности управления испытуемыми своими двигательными действиями, а также уровень двигательных возможностей и контроля над степенью освоения движений оценивались: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умению отталкиваться двумя ногами после разбега и стопорящего шага и выпрыгивать вверх, приземляясь как можно ближе к месту отталкивания (измерялось расстояние перемещения вперед после отталкивания);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сохранению статического равновесия (время удержания принятого устойчивого положения в стойке на одной ноге, другая нога упирается пяткой в опорную, руки на поясе, голова прямо, глаза закрыты);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сохранению динамического равновесия (время удержания равновесия при выполнении маховых движений свободной ногой вперед-назад и вправо-влево, стоя на одной ноге, руки в стороны, голова прямо, глаза закрыты);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точности выполнения прыжка в длину с места на расстояние в Б от максимального результата (измерялась ошибка испытуемого в прыжке).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0505" w:rsidRDefault="0048090E" w:rsidP="004005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 особенностью экспериментальной методики обучения на основе теории учебной деятельности являлось то, что обучение строилось «от общего к частному». В педагогическом эксперименте были применены разработанные ранее основные этапы нового подхода к обучению движениям. Для создания необходимой мотивации в полноценных тренировках и занятиях волейболом был организован просмотр игр профессиональных команд с их разбором. Занимающиеся делали выводы, что нужно для того, чтобы играть на уровне профессиональных команд, какими знаниями, умениями навыками нужно овладеть, какие физические качества развивать. Затем были выделены и развивались основные двигательные способности (скоростные, скоростно-силовые, специальная выносливость, координационные, умение расслаб-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ляться), подготавливая общую базу для освоения основных технических приемов в волейболе.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проверки влияния обучения двигательным действиям на основе теории учебной деятельности на приобретение необходимых знаний об управлении своими движениями было проведено анкетирование.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этого в экспериментальной группе изучались общие для всех основных технических приемов закономерности, применяя для развития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интереса к изучаемым движениям различные подвижные игры. Для выделения общих биомеханических основ техники движений занимающимися совместно с тренером использовались моделирование и схемы, после чего занимающиеся овладевали этими ключевыми моментами. На заключительном этапе осваивалось остальное содержание технической подготовки, решая поставленную общую учебную задачу - овладение техникой волейбола, посредством перечисленных выше учебных действий и операций с последующим применением обобщенных двигательных навыков.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всех технических приемов волейбола, взаимосвязи пространственных, силовых и временных параметров движений позволил выявить то начальное звено, изучение которого позволяет быстрее и с наименьшими ошибками овладевать техническими приемами. Таким звеном является пружинящее движение корпусом, ногами и руками во время выполнения всех технических приемов в волейболе. Было предложено наглядное пособие в виде пружины на неподвижной опоре одним концом, к ее свободному концу прикрепляется металлическая пластина и небольшая корзинка чуть больше по своим размерам диаметра мяча.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пружинки ребята играли с мячом, пытаясь отбить его в разных направлениях и используя пластину, которая крепится на середину пружины горизонтально поверхности стола. Совместно с тренером ребята вспоминали, с какого элемента техники начинается игра (с подачи) и как она выполняется (одной рукой, над головой бьют по подброшенному мячу). С помощью макета, прикрепив пластину вертикально, ребята пытались задать мячу такое же направление, как при верхней подаче, для этого отклоняли пружину назад, параллельно необходимому направлению и отпускали ее. Далее следует этап апробирования полученных знаний, ребята пытались выполнить подачу. </w:t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400505" w:rsidRDefault="00400505" w:rsidP="0040050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090E"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она по какой-либо причине не получалась, ребята совместно с</w:t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8090E"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мной</w:t>
      </w:r>
      <w:r w:rsidR="0048090E"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находили и исправляли ошибку, мешающую выполнению подачи.</w:t>
      </w:r>
      <w:r w:rsidR="0048090E"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8090E"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48090E"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Аналогично осваивались передача и прием мяча снизу, вспоминая, как развивается игра (после подачи мяч принимают снизу), на макете устанавливалась пластина горизонтально поверхности опоры, и ребята пытались придать мячу нужное направление, отбивая его с помощью этой пластины. Придавая мячу разные направления, учащиеся видели, что угол между пластиной и пружиной (руками и корпусом) остается</w:t>
      </w:r>
      <w:r w:rsidR="0048090E"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8090E"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090E"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неизменным, и тем самым избегали одной из самых распространенных ошибок при передаче снизу. Создав правильное представление (видели передачу снизу в исполнении игроков на площадке, играли с пружинкой и </w:t>
      </w:r>
      <w:r w:rsidR="0048090E"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мячиком, показывал тренер), ребята пытались выполнить передачу самостоятельно, отбивая мяч вверх, вперед, назад, в стороны.</w:t>
      </w:r>
      <w:r w:rsidR="0048090E"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8090E"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090E"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следовала беседа на тему «На какой прием из техники волейбола похоже данное действие». Необходимо было подвести учащихся к нужному ответу, а затем дать им возможность самим попробовать отбить мяч и таким образом попытаться направить его в разные стороны и попасть в мишени, находящиеся на различных расстояниях.</w:t>
      </w:r>
      <w:r w:rsidR="0048090E"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8090E"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090E"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ставилась задача определить нужные действия в случае, когда мяч летит сбоку от пружины (игрока), а нужно отбить его вперед и оценить возможность точной передачи выставленными в сторону руками. Пытаясь выполнить передачу снизу, в данных условиях ребята понимали, что отбить мяч точно вперед можно тогда лишь, когда мяч находится между игроком и заданной целью, а для этого необходимо сделать шаг к мячу и встретить его «грудью». Тем самым развивался навык выходить под мяч и принимать его только перед собой.</w:t>
      </w:r>
      <w:r w:rsidR="0048090E"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0505" w:rsidRDefault="00CC4F20" w:rsidP="0040050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48090E"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тем общим, на чем строится учебно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8090E"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тренировочный процесс и от чего зависит последовательность изучения технических приемов, является сама игра. С первых занятий ребят необходимо учить игре «пионербол» и постепенно, по мере овладения техническими приемами, заменять ее на игру в волейбол. С одной стороны, «пионербол» прост - бросай и лови, но и сложен, с другой стороны, если изучать его сразу, используя технические приемы, схожие с техническими приемами волейбола, но он является хорошим подводящим и подготовительным упражнением для тренировки различных технических приемов. С помощью игры «пионербол» можно постепенно пройти основные этапы обучения и развития тактики волейбола.</w:t>
      </w:r>
      <w:r w:rsidR="0048090E"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0505" w:rsidRDefault="0048090E" w:rsidP="0040050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это можно изучить еще на начальном этапе, пока идет изучение и закрепление технических приемов волейбола. Строя обучение, таким образом, мы придерживаемся основного принципа теории учебной деятельности от общего к частному, где общее - сама игра, а частные ее проявления - технико-тактические двигательные действия. В то время как в традиционной методике обучения общим и главным звеном являются технические приемы, из которых потом, при их освоении, строится (собирается) игра в волейбол.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42AA" w:rsidRPr="005F42AA" w:rsidRDefault="0048090E" w:rsidP="004005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2AA" w:rsidRPr="005F42AA">
        <w:rPr>
          <w:rFonts w:ascii="Times New Roman" w:eastAsia="Calibri" w:hAnsi="Times New Roman" w:cs="Times New Roman"/>
          <w:b/>
          <w:bCs/>
          <w:sz w:val="28"/>
          <w:szCs w:val="28"/>
        </w:rPr>
        <w:t>Эффективность педагогического опыта с точки зрения полученных результатов</w:t>
      </w:r>
      <w:r w:rsidR="005F42AA" w:rsidRPr="005F42A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CC4F20" w:rsidRDefault="0048090E" w:rsidP="0048090E">
      <w:pPr>
        <w:ind w:left="34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окончании учебного года были проведены экзамены по теоретической, технической и общефизической подготовленности занимающихся в контрольной и экспериментальной группах. Результаты показали, что по всем тестам на конец эксперимента и</w:t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экспериментальной,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контрольной группе произошли положительные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внутригрупповые изменения. Сравнительный анализ межгрупповых различий конечных данных показал преимущество данных экспериментальной группы по сравнению с аналогичными данными контрольной группы. Если в начале эксперимента по всем видам тестов не было достоверных различий, то в конце эксперимента уже наблюдаются достоверные различия (р&lt;0.05) в тесте «Статическое равновесие» и «Имитация нападающего удара». В тестах «Динамическое равновесие» и «Ошибки при прыжке в длину» выявлены достоверные различия (р&lt;0.01), где преим</w:t>
      </w:r>
      <w:r w:rsidR="005F4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ущество имеет экспериментальная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по экспериментальной методике оказали также существенное влияние на развитие знаний и умений управлять своими движениями. Анкетирование по технике двигательных действий в конце учебного года показало, что занимающиеся по экспериментальной методике более глубоко понимают основы техники волейбола, нежели занимающиеся по общепринятой методике с</w:t>
      </w:r>
      <w:r w:rsidR="005F42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высокой степенью достоверности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различий.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частных задач настоящего исследования являлось развитие в процессе занятий необходимого уровня физической подготовленности испытуемых экспериментальной группы. Динамика физических качеств в ходе эксперимента является одним из веских доказательств преимуществ разработанной методики обучения двигательным действиям в волейболе. </w:t>
      </w:r>
    </w:p>
    <w:p w:rsidR="00CC4F20" w:rsidRDefault="0048090E" w:rsidP="0048090E">
      <w:pPr>
        <w:ind w:left="34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тестирования показывают, что целенаправленное применение данной технологии обучения двигательным действиям, характеризующейся наибольшей активностью, заинтересованностью и глубоким пониманием всего учебно-тренировочного процесса, занимающихся в экспериментальной группе в целом позволило повысить уровень общей и специальной физической подготовленности.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4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Выводы</w:t>
      </w:r>
      <w:r w:rsidRPr="00CC4F2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экспериментальных данных свидетельствует о динамичном, комплексном развитии физических качеств учеников экспериментальной группы в результате использования технологии обучения двигательным действиям на основе теории учебной деятельности. В результате эксперимента у испытуемых произошли статистически достоверные изменения в уровне овладения техникой двигательных действий, в формировании учебно-познавательных мотивов к занятиям волейболом и в развитии умений управлять своими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движениями, в физической подготовленности.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6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обучения двигательным действиям на основе теории учебной деятельности является определенным шагом в решении задач технической подготовки в волейболе, а также в изучении более общих проблем физического воспитания </w:t>
      </w:r>
      <w:r w:rsid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делает целесообразным продолжение исследований в этом направлении.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C4F20" w:rsidRDefault="00CC4F20" w:rsidP="0048090E">
      <w:pPr>
        <w:ind w:left="34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4F20" w:rsidRDefault="00CC4F20" w:rsidP="0048090E">
      <w:pPr>
        <w:ind w:left="34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0118E" w:rsidRPr="0048090E" w:rsidRDefault="0048090E" w:rsidP="00CC4F20">
      <w:pPr>
        <w:ind w:left="340" w:firstLine="709"/>
        <w:rPr>
          <w:rFonts w:ascii="Times New Roman" w:eastAsia="Calibri" w:hAnsi="Times New Roman" w:cs="Times New Roman"/>
          <w:sz w:val="28"/>
          <w:szCs w:val="28"/>
        </w:rPr>
      </w:pPr>
      <w:r w:rsidRPr="00CC4F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литературы</w:t>
      </w:r>
      <w:r w:rsidRPr="00CC4F2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CC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Выготский Л. С. Развитие высших психических функций. М.: АПН, 1960. 500 с.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Абызов М. М. Формирование координации движений в условиях учебной задачи: дис. ... канд. пед. наук. М., 1981. 30 с.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Боген М. М. Обучение двигательным действиям. М.: ФиС, 1985. 192 с.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Гальперин П. Я. Типы ориентировки и типы формирования действий и понятий // Доклады АПН РСФСР 1958. № 2. С. 26-38.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Давыдов В. В. Проблемы развивающего обучения. М.: Педагогика, 1986. 374 с.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Эльконин Д. Б. Избранные психологические труды. М.: Педагогика, 1999. 376 с.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Марков К. К., Пашкова Н. В. О некоторых возможных направлениях совершенствования методики двигательного обучения в волейболе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// Физическая культура и спорт в системе образования. Красноярск: СФУ, 2007. С. 303-305.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Марков К. К., Пашкова Н. В. Инновационные подходы к обучению двигательным действиям в волейболе на основе теории учебной деятельности // Инновационные технологии в развитии современного спорта. Иркутск: ИрГТУ, 2008. С. 162-167.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Марков К.К., Пашкова Н. В. Проблемы совершенствования методики двигательного обучения в волейболе // Подготовка специалистов по физической культуре и спорту в современных условиях. Красноярск: КГПУ, 2007. С. 113-116.</w:t>
      </w:r>
      <w:r w:rsidRPr="004809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0E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0118E" w:rsidRPr="0048090E" w:rsidSect="00E3419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Sans L">
    <w:altName w:val="Nimbus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842"/>
    <w:multiLevelType w:val="multilevel"/>
    <w:tmpl w:val="F3E0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93B4E"/>
    <w:multiLevelType w:val="hybridMultilevel"/>
    <w:tmpl w:val="2C82EACE"/>
    <w:lvl w:ilvl="0" w:tplc="BC2A0F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256A64"/>
    <w:multiLevelType w:val="hybridMultilevel"/>
    <w:tmpl w:val="B3AC807C"/>
    <w:lvl w:ilvl="0" w:tplc="1D48A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D46E24"/>
    <w:multiLevelType w:val="hybridMultilevel"/>
    <w:tmpl w:val="4B0A40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F37B96"/>
    <w:multiLevelType w:val="hybridMultilevel"/>
    <w:tmpl w:val="0218BC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62A98"/>
    <w:multiLevelType w:val="hybridMultilevel"/>
    <w:tmpl w:val="89620C68"/>
    <w:lvl w:ilvl="0" w:tplc="4AF890E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BE7D55"/>
    <w:multiLevelType w:val="hybridMultilevel"/>
    <w:tmpl w:val="6D1EAA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B327B"/>
    <w:multiLevelType w:val="hybridMultilevel"/>
    <w:tmpl w:val="A8BCB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400DB"/>
    <w:multiLevelType w:val="hybridMultilevel"/>
    <w:tmpl w:val="F33611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03583"/>
    <w:multiLevelType w:val="hybridMultilevel"/>
    <w:tmpl w:val="4ABEB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0EF2965"/>
    <w:multiLevelType w:val="hybridMultilevel"/>
    <w:tmpl w:val="C97E9C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710B48"/>
    <w:multiLevelType w:val="hybridMultilevel"/>
    <w:tmpl w:val="129C43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D1449"/>
    <w:multiLevelType w:val="hybridMultilevel"/>
    <w:tmpl w:val="598E37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3F92"/>
    <w:rsid w:val="00021145"/>
    <w:rsid w:val="000C2872"/>
    <w:rsid w:val="000C7E15"/>
    <w:rsid w:val="000D7379"/>
    <w:rsid w:val="001025CE"/>
    <w:rsid w:val="001731DE"/>
    <w:rsid w:val="00183DD3"/>
    <w:rsid w:val="001D62B9"/>
    <w:rsid w:val="00217C70"/>
    <w:rsid w:val="00237C95"/>
    <w:rsid w:val="002C47B3"/>
    <w:rsid w:val="002D5FB4"/>
    <w:rsid w:val="002F6936"/>
    <w:rsid w:val="00312972"/>
    <w:rsid w:val="003371F5"/>
    <w:rsid w:val="00347321"/>
    <w:rsid w:val="003502F6"/>
    <w:rsid w:val="0035179B"/>
    <w:rsid w:val="003701DE"/>
    <w:rsid w:val="00383964"/>
    <w:rsid w:val="003975B2"/>
    <w:rsid w:val="003B08A9"/>
    <w:rsid w:val="00400505"/>
    <w:rsid w:val="0048090E"/>
    <w:rsid w:val="00492679"/>
    <w:rsid w:val="004E49C9"/>
    <w:rsid w:val="00526F6F"/>
    <w:rsid w:val="00543211"/>
    <w:rsid w:val="0055676A"/>
    <w:rsid w:val="005D2718"/>
    <w:rsid w:val="005F42AA"/>
    <w:rsid w:val="0060118E"/>
    <w:rsid w:val="00601A3F"/>
    <w:rsid w:val="006037D0"/>
    <w:rsid w:val="00623E5D"/>
    <w:rsid w:val="006451DE"/>
    <w:rsid w:val="007008ED"/>
    <w:rsid w:val="00713C0F"/>
    <w:rsid w:val="007A15C9"/>
    <w:rsid w:val="00830DCB"/>
    <w:rsid w:val="00837FF9"/>
    <w:rsid w:val="00840D77"/>
    <w:rsid w:val="0084122A"/>
    <w:rsid w:val="00842296"/>
    <w:rsid w:val="00844813"/>
    <w:rsid w:val="008602FB"/>
    <w:rsid w:val="00917339"/>
    <w:rsid w:val="0099545C"/>
    <w:rsid w:val="009B29DC"/>
    <w:rsid w:val="00A22058"/>
    <w:rsid w:val="00A97CD9"/>
    <w:rsid w:val="00B13EA1"/>
    <w:rsid w:val="00B14099"/>
    <w:rsid w:val="00B53905"/>
    <w:rsid w:val="00B66414"/>
    <w:rsid w:val="00B76F78"/>
    <w:rsid w:val="00BB11DF"/>
    <w:rsid w:val="00BE3556"/>
    <w:rsid w:val="00C138FC"/>
    <w:rsid w:val="00C45E10"/>
    <w:rsid w:val="00C54BBF"/>
    <w:rsid w:val="00C92742"/>
    <w:rsid w:val="00CB6F6A"/>
    <w:rsid w:val="00CC4F20"/>
    <w:rsid w:val="00CE0998"/>
    <w:rsid w:val="00D5353E"/>
    <w:rsid w:val="00DD48CD"/>
    <w:rsid w:val="00E06A6A"/>
    <w:rsid w:val="00E06E03"/>
    <w:rsid w:val="00E34197"/>
    <w:rsid w:val="00E522D1"/>
    <w:rsid w:val="00E658BC"/>
    <w:rsid w:val="00E67821"/>
    <w:rsid w:val="00E862DB"/>
    <w:rsid w:val="00EE4348"/>
    <w:rsid w:val="00F1693B"/>
    <w:rsid w:val="00F3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08ED"/>
    <w:pPr>
      <w:ind w:left="720"/>
      <w:contextualSpacing/>
    </w:pPr>
  </w:style>
  <w:style w:type="character" w:customStyle="1" w:styleId="apple-converted-space">
    <w:name w:val="apple-converted-space"/>
    <w:basedOn w:val="a0"/>
    <w:rsid w:val="007A15C9"/>
  </w:style>
  <w:style w:type="paragraph" w:styleId="a5">
    <w:name w:val="Balloon Text"/>
    <w:basedOn w:val="a"/>
    <w:link w:val="a6"/>
    <w:uiPriority w:val="99"/>
    <w:semiHidden/>
    <w:unhideWhenUsed/>
    <w:rsid w:val="004E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49C9"/>
    <w:pPr>
      <w:autoSpaceDE w:val="0"/>
      <w:autoSpaceDN w:val="0"/>
      <w:adjustRightInd w:val="0"/>
      <w:spacing w:after="0" w:line="240" w:lineRule="auto"/>
    </w:pPr>
    <w:rPr>
      <w:rFonts w:ascii="Nimbus Sans L" w:eastAsiaTheme="minorEastAsia" w:hAnsi="Nimbus Sans L" w:cs="Nimbus Sans 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E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C4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011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rsid w:val="000C7E15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0C7E15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4809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08ED"/>
    <w:pPr>
      <w:ind w:left="720"/>
      <w:contextualSpacing/>
    </w:pPr>
  </w:style>
  <w:style w:type="character" w:customStyle="1" w:styleId="apple-converted-space">
    <w:name w:val="apple-converted-space"/>
    <w:basedOn w:val="a0"/>
    <w:rsid w:val="007A15C9"/>
  </w:style>
  <w:style w:type="paragraph" w:styleId="a5">
    <w:name w:val="Balloon Text"/>
    <w:basedOn w:val="a"/>
    <w:link w:val="a6"/>
    <w:uiPriority w:val="99"/>
    <w:semiHidden/>
    <w:unhideWhenUsed/>
    <w:rsid w:val="004E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49C9"/>
    <w:pPr>
      <w:autoSpaceDE w:val="0"/>
      <w:autoSpaceDN w:val="0"/>
      <w:adjustRightInd w:val="0"/>
      <w:spacing w:after="0" w:line="240" w:lineRule="auto"/>
    </w:pPr>
    <w:rPr>
      <w:rFonts w:ascii="Nimbus Sans L" w:eastAsiaTheme="minorEastAsia" w:hAnsi="Nimbus Sans L" w:cs="Nimbus Sans 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E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2C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A4F5-E431-4130-9166-71AE3CB1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10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Sergei</cp:lastModifiedBy>
  <cp:revision>37</cp:revision>
  <cp:lastPrinted>2016-03-15T04:58:00Z</cp:lastPrinted>
  <dcterms:created xsi:type="dcterms:W3CDTF">2013-09-20T08:59:00Z</dcterms:created>
  <dcterms:modified xsi:type="dcterms:W3CDTF">2017-01-12T18:37:00Z</dcterms:modified>
</cp:coreProperties>
</file>