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4="http://schemas.microsoft.com/office/drawing/2010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r>
        <w:rPr>
          <w:b w:val="1"/>
        </w:rPr>
        <w:t>Тема доклада:</w:t>
      </w:r>
      <w:r>
        <w:t> Влияние допинга на системы организма.</w:t>
      </w:r>
    </w:p>
    <w:p w14:paraId="02000000">
      <w:r>
        <w:rPr>
          <w:b w:val="1"/>
        </w:rPr>
        <w:t>Введение</w:t>
      </w:r>
    </w:p>
    <w:p w14:paraId="03000000">
      <w:r>
        <w:t>В современном спорте высоких достижений борьба за доли секунды и миллиметры приводит к тому, что некоторые спортсмены идут на использование запрещённых веществ — допинга. Часто можно услышать мнение, что допинг помогает лишь «обмануть систему» или временно улучшить результат. Однако за этим краткосрочным повышением работоспособности скрывается глубокое и зачастую необратимое разрушение всех систем организма. Цель данного доклада — рассмотреть, как различные классы допинговых препаратов воздействуют на ключевые физиологические системы человека и к каким долгосрочным последствиям это приводит.</w:t>
      </w:r>
    </w:p>
    <w:p w14:paraId="04000000">
      <w:r>
        <w:rPr>
          <w:b w:val="1"/>
        </w:rPr>
        <w:t xml:space="preserve">1. Влияние на </w:t>
      </w:r>
      <w:r>
        <w:rPr>
          <w:b w:val="1"/>
        </w:rPr>
        <w:t>сердечно-сосудистую</w:t>
      </w:r>
      <w:r>
        <w:rPr>
          <w:b w:val="1"/>
        </w:rPr>
        <w:t xml:space="preserve"> систему (самое опасное)</w:t>
      </w:r>
    </w:p>
    <w:p w14:paraId="05000000">
      <w:r>
        <w:t>Сердечно-сосудистая</w:t>
      </w:r>
      <w:r>
        <w:t xml:space="preserve"> система принимает на себя главный удар. Анаболические стероиды, </w:t>
      </w:r>
      <w:r>
        <w:t>эритропоэтин</w:t>
      </w:r>
      <w:r>
        <w:t xml:space="preserve"> (ЭПО) и стимуляторы вызывают следующие патологии:</w:t>
      </w:r>
    </w:p>
    <w:p w14:paraId="06000000">
      <w:pPr>
        <w:numPr>
          <w:ilvl w:val="0"/>
          <w:numId w:val="1"/>
        </w:numPr>
      </w:pPr>
      <w:r>
        <w:rPr>
          <w:b w:val="1"/>
        </w:rPr>
        <w:t>Гипертрофия миокарда:</w:t>
      </w:r>
      <w:r>
        <w:t> Стенки сердца утолщаются, а камеры расширяются. Сердце перестаёт эффективно перекачивать кровь, что ведёт к сердечной недостаточности.</w:t>
      </w:r>
    </w:p>
    <w:p w14:paraId="07000000">
      <w:pPr>
        <w:numPr>
          <w:ilvl w:val="0"/>
          <w:numId w:val="1"/>
        </w:numPr>
      </w:pPr>
      <w:r>
        <w:rPr>
          <w:b w:val="1"/>
        </w:rPr>
        <w:t>Атеросклероз и тромбозы:</w:t>
      </w:r>
      <w:r>
        <w:t xml:space="preserve"> Стероиды повышают уровень «плохого» холестерина (ЛПНП) и снижают «хороший» (ЛПВП). Сосуды забиваются бляшками. </w:t>
      </w:r>
      <w:r>
        <w:t>Эритропоэзин</w:t>
      </w:r>
      <w:r>
        <w:t xml:space="preserve"> делает кровь очень густой, что приводит к образованию тромбов. Результат — инфаркты и инсульты даже у 20-летних спортсменов.</w:t>
      </w:r>
    </w:p>
    <w:p w14:paraId="08000000">
      <w:pPr>
        <w:numPr>
          <w:ilvl w:val="0"/>
          <w:numId w:val="1"/>
        </w:numPr>
      </w:pPr>
      <w:r>
        <w:rPr>
          <w:b w:val="1"/>
        </w:rPr>
        <w:t>Артериальная гипертензия:</w:t>
      </w:r>
      <w:r>
        <w:t> Постоянно повышенное давление разрушает сосуды мозга, почек и сетчатки глаза.</w:t>
      </w:r>
    </w:p>
    <w:p w14:paraId="09000000">
      <w:r>
        <w:rPr>
          <w:b w:val="1"/>
        </w:rPr>
        <w:t>2. Влияние на эндокринную систему</w:t>
      </w:r>
    </w:p>
    <w:p w14:paraId="0A000000">
      <w:r>
        <w:t>Гормональный фон — тонкий механизм, который допинг ломает «под корень»:</w:t>
      </w:r>
    </w:p>
    <w:p w14:paraId="0B000000">
      <w:pPr>
        <w:numPr>
          <w:ilvl w:val="0"/>
          <w:numId w:val="2"/>
        </w:numPr>
      </w:pPr>
      <w:r>
        <w:rPr>
          <w:b w:val="1"/>
        </w:rPr>
        <w:t>У мужчин:</w:t>
      </w:r>
      <w:r>
        <w:t> При приёме синтетического тестостерона (стероидов) собственные яички перестают вырабатывать этот гормон. Они атрофируются (</w:t>
      </w:r>
      <w:r>
        <w:t>тестикулярная</w:t>
      </w:r>
      <w:r>
        <w:t xml:space="preserve"> атрофия). Снижается выработка спермы, развивается бесплодие. Возможна гинекомастия — рост грудных желёз (из-за превращения избытка тестостерона в женские гормоны эстрогены).</w:t>
      </w:r>
    </w:p>
    <w:p w14:paraId="0C000000">
      <w:pPr>
        <w:numPr>
          <w:ilvl w:val="0"/>
          <w:numId w:val="2"/>
        </w:numPr>
      </w:pPr>
      <w:r>
        <w:rPr>
          <w:b w:val="1"/>
        </w:rPr>
        <w:t>У женщин:</w:t>
      </w:r>
      <w:r>
        <w:t> Голос грубеет и становится низким (необратимо), нарушается менструальный ци</w:t>
      </w:r>
      <w:r>
        <w:t>кл впл</w:t>
      </w:r>
      <w:r>
        <w:t xml:space="preserve">оть до полного прекращения (аменорея), развивается бесплодие, происходит </w:t>
      </w:r>
      <w:r>
        <w:t>оволосение</w:t>
      </w:r>
      <w:r>
        <w:t xml:space="preserve"> по мужскому типу (гирсутизм) и гипертрофия клитора.</w:t>
      </w:r>
    </w:p>
    <w:p w14:paraId="0D000000">
      <w:pPr>
        <w:numPr>
          <w:ilvl w:val="0"/>
          <w:numId w:val="2"/>
        </w:numPr>
      </w:pPr>
      <w:r>
        <w:rPr>
          <w:b w:val="1"/>
        </w:rPr>
        <w:t>Щитовидная железа:</w:t>
      </w:r>
      <w:r>
        <w:t xml:space="preserve"> Применение </w:t>
      </w:r>
      <w:r>
        <w:t>тиреоидных</w:t>
      </w:r>
      <w:r>
        <w:t xml:space="preserve"> гормонов для сжигания жира вызывает сначала тиреотоксикоз (сердцебиение, жар, потливость), а при отмене — стойкий гипотиреоз (ожирение, слабость, отёки).</w:t>
      </w:r>
    </w:p>
    <w:p w14:paraId="0E000000">
      <w:r>
        <w:rPr>
          <w:b w:val="1"/>
        </w:rPr>
        <w:t>3. Влияние на опорно-двигательный аппарат (парадокс силы)</w:t>
      </w:r>
    </w:p>
    <w:p w14:paraId="0F000000">
      <w:r>
        <w:t>Кажется, что стероиды укрепляют кости и мышцы. На самом деле, ситуация обратная:</w:t>
      </w:r>
    </w:p>
    <w:p w14:paraId="10000000">
      <w:pPr>
        <w:numPr>
          <w:ilvl w:val="0"/>
          <w:numId w:val="3"/>
        </w:numPr>
      </w:pPr>
      <w:r>
        <w:rPr>
          <w:b w:val="1"/>
        </w:rPr>
        <w:t>Разрыв связок и сухожилий:</w:t>
      </w:r>
      <w:r>
        <w:t> Мышцы под действием допинга растут быстрее, чем связки и сухожилия успевают адаптироваться («мясо сильнее креплений»). Это приводит к частым разрывам бицепса, грудных мышц и ахиллова сухожилия.</w:t>
      </w:r>
    </w:p>
    <w:p w14:paraId="11000000">
      <w:pPr>
        <w:numPr>
          <w:ilvl w:val="0"/>
          <w:numId w:val="3"/>
        </w:numPr>
      </w:pPr>
      <w:r>
        <w:rPr>
          <w:b w:val="1"/>
        </w:rPr>
        <w:t>Остеопороз у молодых (при сгонке веса):</w:t>
      </w:r>
      <w:r>
        <w:t> Диуретики и препараты, вымывающие кальций, делают кости пористыми и хрупкими. Достаточно неудачного падения, чтобы получить перелом позвоночника.</w:t>
      </w:r>
    </w:p>
    <w:p w14:paraId="12000000">
      <w:r>
        <w:rPr>
          <w:b w:val="1"/>
        </w:rPr>
        <w:t>4. Влияние на нервную систему и психику</w:t>
      </w:r>
    </w:p>
    <w:p w14:paraId="13000000">
      <w:r>
        <w:t>Допинг — это не только физиология, но и разрушение личности:</w:t>
      </w:r>
    </w:p>
    <w:p w14:paraId="14000000">
      <w:pPr>
        <w:numPr>
          <w:ilvl w:val="0"/>
          <w:numId w:val="4"/>
        </w:numPr>
      </w:pPr>
      <w:r>
        <w:rPr>
          <w:b w:val="1"/>
        </w:rPr>
        <w:t>«Стероидная ярость»:</w:t>
      </w:r>
      <w:r>
        <w:t> Агрессия, внезапные приступы гнева, паранойя, психозы. Склонность к насилию — как в семье, так и вне её.</w:t>
      </w:r>
    </w:p>
    <w:p w14:paraId="15000000">
      <w:pPr>
        <w:numPr>
          <w:ilvl w:val="0"/>
          <w:numId w:val="4"/>
        </w:numPr>
      </w:pPr>
      <w:r>
        <w:rPr>
          <w:b w:val="1"/>
        </w:rPr>
        <w:t>Депрессия при отмене:</w:t>
      </w:r>
      <w:r>
        <w:t> Когда приём препарата заканчивается, уровень «своего» тестостерона катастрофически низок. Это вызывает глубочайшую депрессию с суицидальными мыслями.</w:t>
      </w:r>
    </w:p>
    <w:p w14:paraId="16000000">
      <w:pPr>
        <w:numPr>
          <w:ilvl w:val="0"/>
          <w:numId w:val="4"/>
        </w:numPr>
      </w:pPr>
      <w:r>
        <w:rPr>
          <w:b w:val="1"/>
        </w:rPr>
        <w:t>Когнитивные нарушения:</w:t>
      </w:r>
      <w:r>
        <w:t> Стимуляторы (</w:t>
      </w:r>
      <w:r>
        <w:t>амфетамины</w:t>
      </w:r>
      <w:r>
        <w:t xml:space="preserve">, кокаин) разрушают </w:t>
      </w:r>
      <w:r>
        <w:t>дофаминовые</w:t>
      </w:r>
      <w:r>
        <w:t xml:space="preserve"> рецепторы, что ведёт к ухудшению памяти, потере концентрации и деменции в молодом возрасте.</w:t>
      </w:r>
    </w:p>
    <w:p w14:paraId="17000000">
      <w:r>
        <w:rPr>
          <w:b w:val="1"/>
        </w:rPr>
        <w:t>5. Влияние на печень и выделительную систему</w:t>
      </w:r>
    </w:p>
    <w:p w14:paraId="18000000">
      <w:r>
        <w:t>Печень пытается нейтрализовать синтетические вещества:</w:t>
      </w:r>
    </w:p>
    <w:p w14:paraId="19000000">
      <w:pPr>
        <w:numPr>
          <w:ilvl w:val="0"/>
          <w:numId w:val="5"/>
        </w:numPr>
      </w:pPr>
      <w:r>
        <w:rPr>
          <w:b w:val="1"/>
        </w:rPr>
        <w:t>Токсический гепатит:</w:t>
      </w:r>
      <w:r>
        <w:t> Многие пероральные стероиды (в таблетках) имеют алкильную группу, чтобы не разрушаться в печени. Из-за этого они токсичны для самого органа. Развивается пожелтение кожи, увеличение печени, а в худшем случае — цирроз.</w:t>
      </w:r>
    </w:p>
    <w:p w14:paraId="1A000000">
      <w:pPr>
        <w:numPr>
          <w:ilvl w:val="0"/>
          <w:numId w:val="5"/>
        </w:numPr>
      </w:pPr>
      <w:r>
        <w:rPr>
          <w:b w:val="1"/>
        </w:rPr>
        <w:t>Почечная недостаточность:</w:t>
      </w:r>
      <w:r>
        <w:t> Из-за мышечных нагрузок и приёма диуретиков происходит распад мышечного белка (</w:t>
      </w:r>
      <w:r>
        <w:t>рабдомиолиз</w:t>
      </w:r>
      <w:r>
        <w:t>). Продукты распада забивают почечные канальцы, и почки отказывают.</w:t>
      </w:r>
    </w:p>
    <w:p w14:paraId="1B000000">
      <w:r>
        <w:rPr>
          <w:b w:val="1"/>
        </w:rPr>
        <w:t>Заключение</w:t>
      </w:r>
    </w:p>
    <w:p w14:paraId="1C000000">
      <w:r>
        <w:t>Проведённый анализ показывает, что применение допинга запускает цепную реакцию самоуничтожения организма. Быстрое увеличение силы или выносливости оборачивается инвалидностью в 30–40 лет: разрушенным сердцем, атрофированными половыми железами, больной печенью и психическими расстройствами. Многие выдающиеся спортсмены прошлого, употреблявшие стероиды (например, некоторое количество культуристов «золотой эры» или велогонщики), умерли от инфарктов в возрасте 40–50 лет.</w:t>
      </w:r>
    </w:p>
    <w:p w14:paraId="1D000000">
      <w:r>
        <w:t>В рамках дисциплины «Физическая подготовка» важно понимать: истинная цель тренировок — это здоровье и долголетие. Допинг не даёт ни того, ни другого. Он является не путём к победе, а осознанным выбором в пользу временного результата ценой полной деградации физиологических систем организма. Разумная физическая подготовка всегда базируется на принципах натуральности, постепенности и восстановления, а не на химической стимуляции.</w:t>
      </w:r>
    </w:p>
    <w:p w14:paraId="1E000000">
      <w:r>
        <mc:AlternateContent>
          <mc:Choice Requires="wps">
            <w:drawing xmlns:a="http://schemas.openxmlformats.org/drawingml/2006/main" xmlns:a14="http://schemas.microsoft.com/office/drawing/2010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  <wp:inline>
                <wp:extent cx="0" cy="9525"/>
                <wp:docPr hidden="false" id="1" name="Picture 1"/>
                <a:graphic>
                  <a:graphicData uri="http://schemas.microsoft.com/office/word/2010/wordprocessingShape">
                    <wps:wsp>
                      <wps:cNvSpPr txBox="false"/>
                      <wps:spPr>
                        <a:xfrm flipH="false" flipV="false" rot="0">
                          <a:off x="0" y="0"/>
                          <a:ext cx="0" cy="9525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>
                          <a:noFill/>
                        </a:ln>
                      </wps:spPr>
                      <wps:bodyPr anchor="t" bIns="45720" lIns="91440" rIns="91440" tIns="4572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 xmlns:a="http://schemas.openxmlformats.org/drawingml/2006/main" xmlns:a14="http://schemas.microsoft.com/office/drawing/2010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</w:p>
    <w:p w14:paraId="1F000000">
      <w:r>
        <w:rPr>
          <w:b w:val="1"/>
        </w:rPr>
        <w:t>Список использованной литературы:</w:t>
      </w:r>
    </w:p>
    <w:p w14:paraId="20000000">
      <w:pPr>
        <w:numPr>
          <w:ilvl w:val="0"/>
          <w:numId w:val="6"/>
        </w:numPr>
      </w:pPr>
      <w:r>
        <w:t>Сейфулла</w:t>
      </w:r>
      <w:r>
        <w:t xml:space="preserve"> Р.Д. «Спортивная фармакология и допинг». — М., 2020.</w:t>
      </w:r>
    </w:p>
    <w:p w14:paraId="21000000">
      <w:pPr>
        <w:numPr>
          <w:ilvl w:val="0"/>
          <w:numId w:val="6"/>
        </w:numPr>
      </w:pPr>
      <w:r>
        <w:t>Макарова Г.А. «Спортивная медицина». — М.: Советский спорт, 2018.</w:t>
      </w:r>
    </w:p>
    <w:p w14:paraId="22000000">
      <w:pPr>
        <w:numPr>
          <w:ilvl w:val="0"/>
          <w:numId w:val="6"/>
        </w:numPr>
      </w:pPr>
      <w:r>
        <w:t>Статьи Всемирного антидопингового агентства (WADA) о побочных эффектах запрещённых веществ.</w:t>
      </w:r>
    </w:p>
    <w:p w14:paraId="23000000">
      <w:bookmarkStart w:id="1" w:name="_GoBack"/>
      <w:bookmarkEnd w:id="1"/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a14="http://schemas.microsoft.com/office/drawing/2010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bullet"/>
      <w:lvlText w:val=""/>
      <w:lvlJc w:val="left"/>
      <w:pPr>
        <w:widowControl w:val="1"/>
        <w:tabs>
          <w:tab w:leader="none" w:pos="720" w:val="left"/>
        </w:tabs>
        <w:ind w:hanging="360" w:left="72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widowControl w:val="1"/>
        <w:tabs>
          <w:tab w:leader="none" w:pos="1440" w:val="left"/>
        </w:tabs>
        <w:ind w:hanging="360" w:left="144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widowControl w:val="1"/>
        <w:tabs>
          <w:tab w:leader="none" w:pos="2160" w:val="left"/>
        </w:tabs>
        <w:ind w:hanging="360" w:left="21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widowControl w:val="1"/>
        <w:tabs>
          <w:tab w:leader="none" w:pos="2880" w:val="left"/>
        </w:tabs>
        <w:ind w:hanging="360" w:left="288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widowControl w:val="1"/>
        <w:tabs>
          <w:tab w:leader="none" w:pos="3600" w:val="left"/>
        </w:tabs>
        <w:ind w:hanging="360" w:left="360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widowControl w:val="1"/>
        <w:tabs>
          <w:tab w:leader="none" w:pos="4320" w:val="left"/>
        </w:tabs>
        <w:ind w:hanging="360" w:left="432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widowControl w:val="1"/>
        <w:tabs>
          <w:tab w:leader="none" w:pos="5040" w:val="left"/>
        </w:tabs>
        <w:ind w:hanging="360" w:left="504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widowControl w:val="1"/>
        <w:tabs>
          <w:tab w:leader="none" w:pos="5760" w:val="left"/>
        </w:tabs>
        <w:ind w:hanging="360" w:left="57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widowControl w:val="1"/>
        <w:tabs>
          <w:tab w:leader="none" w:pos="6480" w:val="left"/>
        </w:tabs>
        <w:ind w:hanging="360" w:left="6480"/>
      </w:pPr>
      <w:rPr>
        <w:rFonts w:ascii="Wingdings" w:hAnsi="Wingdings"/>
        <w:sz w:val="20"/>
      </w:rPr>
    </w:lvl>
  </w:abstractNum>
  <w:abstractNum w:abstractNumId="1">
    <w:lvl w:ilvl="0">
      <w:start w:val="1"/>
      <w:numFmt w:val="bullet"/>
      <w:lvlText w:val=""/>
      <w:lvlJc w:val="left"/>
      <w:pPr>
        <w:widowControl w:val="1"/>
        <w:tabs>
          <w:tab w:leader="none" w:pos="720" w:val="left"/>
        </w:tabs>
        <w:ind w:hanging="360" w:left="72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widowControl w:val="1"/>
        <w:tabs>
          <w:tab w:leader="none" w:pos="1440" w:val="left"/>
        </w:tabs>
        <w:ind w:hanging="360" w:left="144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widowControl w:val="1"/>
        <w:tabs>
          <w:tab w:leader="none" w:pos="2160" w:val="left"/>
        </w:tabs>
        <w:ind w:hanging="360" w:left="21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widowControl w:val="1"/>
        <w:tabs>
          <w:tab w:leader="none" w:pos="2880" w:val="left"/>
        </w:tabs>
        <w:ind w:hanging="360" w:left="288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widowControl w:val="1"/>
        <w:tabs>
          <w:tab w:leader="none" w:pos="3600" w:val="left"/>
        </w:tabs>
        <w:ind w:hanging="360" w:left="360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widowControl w:val="1"/>
        <w:tabs>
          <w:tab w:leader="none" w:pos="4320" w:val="left"/>
        </w:tabs>
        <w:ind w:hanging="360" w:left="432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widowControl w:val="1"/>
        <w:tabs>
          <w:tab w:leader="none" w:pos="5040" w:val="left"/>
        </w:tabs>
        <w:ind w:hanging="360" w:left="504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widowControl w:val="1"/>
        <w:tabs>
          <w:tab w:leader="none" w:pos="5760" w:val="left"/>
        </w:tabs>
        <w:ind w:hanging="360" w:left="57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widowControl w:val="1"/>
        <w:tabs>
          <w:tab w:leader="none" w:pos="6480" w:val="left"/>
        </w:tabs>
        <w:ind w:hanging="360" w:left="6480"/>
      </w:pPr>
      <w:rPr>
        <w:rFonts w:ascii="Wingdings" w:hAnsi="Wingdings"/>
        <w:sz w:val="20"/>
      </w:rPr>
    </w:lvl>
  </w:abstractNum>
  <w:abstractNum w:abstractNumId="2">
    <w:lvl w:ilvl="0">
      <w:start w:val="1"/>
      <w:numFmt w:val="bullet"/>
      <w:lvlText w:val=""/>
      <w:lvlJc w:val="left"/>
      <w:pPr>
        <w:widowControl w:val="1"/>
        <w:tabs>
          <w:tab w:leader="none" w:pos="720" w:val="left"/>
        </w:tabs>
        <w:ind w:hanging="360" w:left="72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widowControl w:val="1"/>
        <w:tabs>
          <w:tab w:leader="none" w:pos="1440" w:val="left"/>
        </w:tabs>
        <w:ind w:hanging="360" w:left="144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widowControl w:val="1"/>
        <w:tabs>
          <w:tab w:leader="none" w:pos="2160" w:val="left"/>
        </w:tabs>
        <w:ind w:hanging="360" w:left="21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widowControl w:val="1"/>
        <w:tabs>
          <w:tab w:leader="none" w:pos="2880" w:val="left"/>
        </w:tabs>
        <w:ind w:hanging="360" w:left="288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widowControl w:val="1"/>
        <w:tabs>
          <w:tab w:leader="none" w:pos="3600" w:val="left"/>
        </w:tabs>
        <w:ind w:hanging="360" w:left="360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widowControl w:val="1"/>
        <w:tabs>
          <w:tab w:leader="none" w:pos="4320" w:val="left"/>
        </w:tabs>
        <w:ind w:hanging="360" w:left="432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widowControl w:val="1"/>
        <w:tabs>
          <w:tab w:leader="none" w:pos="5040" w:val="left"/>
        </w:tabs>
        <w:ind w:hanging="360" w:left="504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widowControl w:val="1"/>
        <w:tabs>
          <w:tab w:leader="none" w:pos="5760" w:val="left"/>
        </w:tabs>
        <w:ind w:hanging="360" w:left="57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widowControl w:val="1"/>
        <w:tabs>
          <w:tab w:leader="none" w:pos="6480" w:val="left"/>
        </w:tabs>
        <w:ind w:hanging="360" w:left="6480"/>
      </w:pPr>
      <w:rPr>
        <w:rFonts w:ascii="Wingdings" w:hAnsi="Wingdings"/>
        <w:sz w:val="20"/>
      </w:rPr>
    </w:lvl>
  </w:abstractNum>
  <w:abstractNum w:abstractNumId="3">
    <w:lvl w:ilvl="0">
      <w:start w:val="1"/>
      <w:numFmt w:val="bullet"/>
      <w:lvlText w:val=""/>
      <w:lvlJc w:val="left"/>
      <w:pPr>
        <w:widowControl w:val="1"/>
        <w:tabs>
          <w:tab w:leader="none" w:pos="720" w:val="left"/>
        </w:tabs>
        <w:ind w:hanging="360" w:left="72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widowControl w:val="1"/>
        <w:tabs>
          <w:tab w:leader="none" w:pos="1440" w:val="left"/>
        </w:tabs>
        <w:ind w:hanging="360" w:left="144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widowControl w:val="1"/>
        <w:tabs>
          <w:tab w:leader="none" w:pos="2160" w:val="left"/>
        </w:tabs>
        <w:ind w:hanging="360" w:left="21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widowControl w:val="1"/>
        <w:tabs>
          <w:tab w:leader="none" w:pos="2880" w:val="left"/>
        </w:tabs>
        <w:ind w:hanging="360" w:left="288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widowControl w:val="1"/>
        <w:tabs>
          <w:tab w:leader="none" w:pos="3600" w:val="left"/>
        </w:tabs>
        <w:ind w:hanging="360" w:left="360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widowControl w:val="1"/>
        <w:tabs>
          <w:tab w:leader="none" w:pos="4320" w:val="left"/>
        </w:tabs>
        <w:ind w:hanging="360" w:left="432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widowControl w:val="1"/>
        <w:tabs>
          <w:tab w:leader="none" w:pos="5040" w:val="left"/>
        </w:tabs>
        <w:ind w:hanging="360" w:left="504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widowControl w:val="1"/>
        <w:tabs>
          <w:tab w:leader="none" w:pos="5760" w:val="left"/>
        </w:tabs>
        <w:ind w:hanging="360" w:left="57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widowControl w:val="1"/>
        <w:tabs>
          <w:tab w:leader="none" w:pos="6480" w:val="left"/>
        </w:tabs>
        <w:ind w:hanging="360" w:left="6480"/>
      </w:pPr>
      <w:rPr>
        <w:rFonts w:ascii="Wingdings" w:hAnsi="Wingdings"/>
        <w:sz w:val="20"/>
      </w:rPr>
    </w:lvl>
  </w:abstractNum>
  <w:abstractNum w:abstractNumId="4">
    <w:lvl w:ilvl="0">
      <w:start w:val="1"/>
      <w:numFmt w:val="bullet"/>
      <w:lvlText w:val=""/>
      <w:lvlJc w:val="left"/>
      <w:pPr>
        <w:widowControl w:val="1"/>
        <w:tabs>
          <w:tab w:leader="none" w:pos="720" w:val="left"/>
        </w:tabs>
        <w:ind w:hanging="360" w:left="72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widowControl w:val="1"/>
        <w:tabs>
          <w:tab w:leader="none" w:pos="1440" w:val="left"/>
        </w:tabs>
        <w:ind w:hanging="360" w:left="144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widowControl w:val="1"/>
        <w:tabs>
          <w:tab w:leader="none" w:pos="2160" w:val="left"/>
        </w:tabs>
        <w:ind w:hanging="360" w:left="21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widowControl w:val="1"/>
        <w:tabs>
          <w:tab w:leader="none" w:pos="2880" w:val="left"/>
        </w:tabs>
        <w:ind w:hanging="360" w:left="288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widowControl w:val="1"/>
        <w:tabs>
          <w:tab w:leader="none" w:pos="3600" w:val="left"/>
        </w:tabs>
        <w:ind w:hanging="360" w:left="360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widowControl w:val="1"/>
        <w:tabs>
          <w:tab w:leader="none" w:pos="4320" w:val="left"/>
        </w:tabs>
        <w:ind w:hanging="360" w:left="432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widowControl w:val="1"/>
        <w:tabs>
          <w:tab w:leader="none" w:pos="5040" w:val="left"/>
        </w:tabs>
        <w:ind w:hanging="360" w:left="504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widowControl w:val="1"/>
        <w:tabs>
          <w:tab w:leader="none" w:pos="5760" w:val="left"/>
        </w:tabs>
        <w:ind w:hanging="360" w:left="57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widowControl w:val="1"/>
        <w:tabs>
          <w:tab w:leader="none" w:pos="6480" w:val="left"/>
        </w:tabs>
        <w:ind w:hanging="360" w:left="6480"/>
      </w:pPr>
      <w:rPr>
        <w:rFonts w:ascii="Wingdings" w:hAnsi="Wingdings"/>
        <w:sz w:val="20"/>
      </w:rPr>
    </w:lvl>
  </w:abstractNum>
  <w:abstractNum w:abstractNumId="5">
    <w:lvl w:ilvl="0">
      <w:start w:val="1"/>
      <w:numFmt w:val="decimal"/>
      <w:lvlText w:val="%1."/>
      <w:lvlJc w:val="left"/>
      <w:pPr>
        <w:widowControl w:val="1"/>
        <w:tabs>
          <w:tab w:leader="none" w:pos="720" w:val="left"/>
        </w:tabs>
        <w:ind w:hanging="360" w:left="720"/>
      </w:pPr>
    </w:lvl>
    <w:lvl w:ilvl="1">
      <w:start w:val="1"/>
      <w:numFmt w:val="decimal"/>
      <w:lvlText w:val="%2."/>
      <w:lvlJc w:val="left"/>
      <w:pPr>
        <w:widowControl w:val="1"/>
        <w:tabs>
          <w:tab w:leader="none" w:pos="1440" w:val="left"/>
        </w:tabs>
        <w:ind w:hanging="360" w:left="1440"/>
      </w:pPr>
    </w:lvl>
    <w:lvl w:ilvl="2">
      <w:start w:val="1"/>
      <w:numFmt w:val="decimal"/>
      <w:lvlText w:val="%3."/>
      <w:lvlJc w:val="left"/>
      <w:pPr>
        <w:widowControl w:val="1"/>
        <w:tabs>
          <w:tab w:leader="none" w:pos="2160" w:val="left"/>
        </w:tabs>
        <w:ind w:hanging="360" w:left="2160"/>
      </w:pPr>
    </w:lvl>
    <w:lvl w:ilvl="3">
      <w:start w:val="1"/>
      <w:numFmt w:val="decimal"/>
      <w:lvlText w:val="%4."/>
      <w:lvlJc w:val="left"/>
      <w:pPr>
        <w:widowControl w:val="1"/>
        <w:tabs>
          <w:tab w:leader="none" w:pos="2880" w:val="left"/>
        </w:tabs>
        <w:ind w:hanging="360" w:left="2880"/>
      </w:pPr>
    </w:lvl>
    <w:lvl w:ilvl="4">
      <w:start w:val="1"/>
      <w:numFmt w:val="decimal"/>
      <w:lvlText w:val="%5."/>
      <w:lvlJc w:val="left"/>
      <w:pPr>
        <w:widowControl w:val="1"/>
        <w:tabs>
          <w:tab w:leader="none" w:pos="3600" w:val="left"/>
        </w:tabs>
        <w:ind w:hanging="360" w:left="3600"/>
      </w:pPr>
    </w:lvl>
    <w:lvl w:ilvl="5">
      <w:start w:val="1"/>
      <w:numFmt w:val="decimal"/>
      <w:lvlText w:val="%6."/>
      <w:lvlJc w:val="left"/>
      <w:pPr>
        <w:widowControl w:val="1"/>
        <w:tabs>
          <w:tab w:leader="none" w:pos="4320" w:val="left"/>
        </w:tabs>
        <w:ind w:hanging="360" w:left="4320"/>
      </w:pPr>
    </w:lvl>
    <w:lvl w:ilvl="6">
      <w:start w:val="1"/>
      <w:numFmt w:val="decimal"/>
      <w:lvlText w:val="%7."/>
      <w:lvlJc w:val="left"/>
      <w:pPr>
        <w:widowControl w:val="1"/>
        <w:tabs>
          <w:tab w:leader="none" w:pos="5040" w:val="left"/>
        </w:tabs>
        <w:ind w:hanging="360" w:left="5040"/>
      </w:pPr>
    </w:lvl>
    <w:lvl w:ilvl="7">
      <w:start w:val="1"/>
      <w:numFmt w:val="decimal"/>
      <w:lvlText w:val="%8."/>
      <w:lvlJc w:val="left"/>
      <w:pPr>
        <w:widowControl w:val="1"/>
        <w:tabs>
          <w:tab w:leader="none" w:pos="5760" w:val="left"/>
        </w:tabs>
        <w:ind w:hanging="360" w:left="5760"/>
      </w:pPr>
    </w:lvl>
    <w:lvl w:ilvl="8">
      <w:start w:val="1"/>
      <w:numFmt w:val="decimal"/>
      <w:lvlText w:val="%9."/>
      <w:lvlJc w:val="left"/>
      <w:pPr>
        <w:widowControl w:val="1"/>
        <w:tabs>
          <w:tab w:leader="none" w:pos="6480" w:val="left"/>
        </w:tabs>
        <w:ind w:hanging="36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a="http://schemas.openxmlformats.org/drawingml/2006/main" xmlns:a14="http://schemas.microsoft.com/office/drawing/2010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4="http://schemas.microsoft.com/office/drawing/2010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200" w:before="0" w:line="276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Default Paragraph Font"/>
    <w:link w:val="Style_16_ch"/>
  </w:style>
  <w:style w:styleId="Style_16_ch" w:type="character">
    <w:name w:val="Default Paragraph Font"/>
    <w:link w:val="Style_16"/>
  </w:style>
  <w:style w:styleId="Style_17" w:type="paragraph">
    <w:name w:val="toc 8"/>
    <w:next w:val="Style_1"/>
    <w:link w:val="Style_17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7_ch" w:type="character">
    <w:name w:val="toc 8"/>
    <w:link w:val="Style_17"/>
    <w:rPr>
      <w:rFonts w:ascii="XO Thames" w:hAnsi="XO Thames"/>
      <w:sz w:val="28"/>
    </w:rPr>
  </w:style>
  <w:style w:styleId="Style_18" w:type="paragraph">
    <w:name w:val="toc 5"/>
    <w:next w:val="Style_1"/>
    <w:link w:val="Style_18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8_ch" w:type="character">
    <w:name w:val="toc 5"/>
    <w:link w:val="Style_18"/>
    <w:rPr>
      <w:rFonts w:ascii="XO Thames" w:hAnsi="XO Thames"/>
      <w:sz w:val="28"/>
    </w:rPr>
  </w:style>
  <w:style w:styleId="Style_19" w:type="paragraph">
    <w:name w:val="Subtitle"/>
    <w:next w:val="Style_1"/>
    <w:link w:val="Style_19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9_ch" w:type="character">
    <w:name w:val="Subtitle"/>
    <w:link w:val="Style_19"/>
    <w:rPr>
      <w:rFonts w:ascii="XO Thames" w:hAnsi="XO Thames"/>
      <w:i w:val="1"/>
      <w:sz w:val="24"/>
    </w:rPr>
  </w:style>
  <w:style w:styleId="Style_20" w:type="paragraph">
    <w:name w:val="Title"/>
    <w:next w:val="Style_1"/>
    <w:link w:val="Style_20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0_ch" w:type="character">
    <w:name w:val="Title"/>
    <w:link w:val="Style_20"/>
    <w:rPr>
      <w:rFonts w:ascii="XO Thames" w:hAnsi="XO Thames"/>
      <w:b w:val="1"/>
      <w:caps w:val="1"/>
      <w:sz w:val="40"/>
    </w:rPr>
  </w:style>
  <w:style w:styleId="Style_21" w:type="paragraph">
    <w:name w:val="heading 4"/>
    <w:next w:val="Style_1"/>
    <w:link w:val="Style_21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1_ch" w:type="character">
    <w:name w:val="heading 4"/>
    <w:link w:val="Style_21"/>
    <w:rPr>
      <w:rFonts w:ascii="XO Thames" w:hAnsi="XO Thames"/>
      <w:b w:val="1"/>
      <w:sz w:val="24"/>
    </w:rPr>
  </w:style>
  <w:style w:styleId="Style_22" w:type="paragraph">
    <w:name w:val="heading 2"/>
    <w:next w:val="Style_1"/>
    <w:link w:val="Style_22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2_ch" w:type="character">
    <w:name w:val="heading 2"/>
    <w:link w:val="Style_22"/>
    <w:rPr>
      <w:rFonts w:ascii="XO Thames" w:hAnsi="XO Thames"/>
      <w:b w:val="1"/>
      <w:sz w:val="28"/>
    </w:rPr>
  </w:style>
  <w:style w:default="1" w:styleId="Style_2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tylesWithEffects.xml" Type="http://schemas.microsoft.com/office/2007/relationships/stylesWithEffects"/>
  <Relationship Id="rId1" Target="fontTable.xml" Type="http://schemas.openxmlformats.org/officeDocument/2006/relationships/fontTable"/>
  <Relationship Id="rId7" Target="numbering.xml" Type="http://schemas.openxmlformats.org/officeDocument/2006/relationships/numbering"/>
  <Relationship Id="rId5" Target="webSettings.xml" Type="http://schemas.openxmlformats.org/officeDocument/2006/relationships/webSetting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6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xmlns:a14="http://schemas.microsoft.com/office/drawing/2010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MyOffice-CoreFramework-Android/40-1423.1132.10486.1056.1@7875681add7d56c228e5331fe7c51cf7b4fd13ed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2026-04-26T15:05:00Z</dcterms:created>
  <dcterms:modified xsi:type="dcterms:W3CDTF">2026-04-26T15:06:00Z</dcterms:modified>
</cp:coreProperties>
</file>