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280" w:rsidRPr="006A13F4" w:rsidRDefault="00C639A9" w:rsidP="00514280">
      <w:pPr>
        <w:spacing w:line="360" w:lineRule="auto"/>
        <w:jc w:val="center"/>
        <w:rPr>
          <w:b/>
          <w:sz w:val="28"/>
          <w:szCs w:val="28"/>
        </w:rPr>
      </w:pPr>
      <w:r w:rsidRPr="00C639A9">
        <w:rPr>
          <w:b/>
          <w:sz w:val="28"/>
          <w:szCs w:val="28"/>
          <w:lang w:bidi="ar-SA"/>
        </w:rPr>
        <w:t>Особенности системы наказаний, применяемых к несовершеннолетним</w:t>
      </w:r>
    </w:p>
    <w:p w:rsidR="00514280" w:rsidRPr="006A13F4" w:rsidRDefault="00514280" w:rsidP="00514280">
      <w:pPr>
        <w:spacing w:line="360" w:lineRule="auto"/>
        <w:ind w:firstLine="709"/>
        <w:jc w:val="both"/>
        <w:rPr>
          <w:sz w:val="28"/>
          <w:szCs w:val="28"/>
        </w:rPr>
      </w:pPr>
    </w:p>
    <w:p w:rsidR="00514280" w:rsidRPr="006A13F4" w:rsidRDefault="00C639A9" w:rsidP="00514280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Мамонтов Александр Александрович</w:t>
      </w:r>
    </w:p>
    <w:p w:rsidR="00514280" w:rsidRPr="006A13F4" w:rsidRDefault="00514280" w:rsidP="00514280">
      <w:pPr>
        <w:ind w:left="5670"/>
        <w:jc w:val="both"/>
        <w:rPr>
          <w:sz w:val="28"/>
          <w:szCs w:val="28"/>
        </w:rPr>
      </w:pPr>
      <w:r w:rsidRPr="006A13F4">
        <w:rPr>
          <w:sz w:val="28"/>
          <w:szCs w:val="28"/>
        </w:rPr>
        <w:t xml:space="preserve">магистрант </w:t>
      </w:r>
      <w:r w:rsidR="00C639A9">
        <w:rPr>
          <w:sz w:val="28"/>
          <w:szCs w:val="28"/>
        </w:rPr>
        <w:t>1</w:t>
      </w:r>
      <w:r w:rsidRPr="006A13F4">
        <w:rPr>
          <w:sz w:val="28"/>
          <w:szCs w:val="28"/>
        </w:rPr>
        <w:t xml:space="preserve"> курса </w:t>
      </w:r>
    </w:p>
    <w:p w:rsidR="00514280" w:rsidRPr="006A13F4" w:rsidRDefault="00514280" w:rsidP="00514280">
      <w:pPr>
        <w:ind w:left="5670"/>
        <w:jc w:val="both"/>
        <w:rPr>
          <w:sz w:val="28"/>
          <w:szCs w:val="28"/>
        </w:rPr>
      </w:pPr>
      <w:r w:rsidRPr="006A13F4">
        <w:rPr>
          <w:sz w:val="28"/>
          <w:szCs w:val="28"/>
        </w:rPr>
        <w:t>ОМЮ</w:t>
      </w:r>
      <w:r w:rsidR="00234255">
        <w:rPr>
          <w:sz w:val="28"/>
          <w:szCs w:val="28"/>
        </w:rPr>
        <w:t>з</w:t>
      </w:r>
      <w:r w:rsidRPr="006A13F4">
        <w:rPr>
          <w:sz w:val="28"/>
          <w:szCs w:val="28"/>
        </w:rPr>
        <w:t>-</w:t>
      </w:r>
      <w:r w:rsidR="006A13F4" w:rsidRPr="006A13F4">
        <w:rPr>
          <w:sz w:val="28"/>
          <w:szCs w:val="28"/>
        </w:rPr>
        <w:t>12</w:t>
      </w:r>
      <w:r w:rsidR="00C639A9">
        <w:rPr>
          <w:sz w:val="28"/>
          <w:szCs w:val="28"/>
        </w:rPr>
        <w:t>509Р</w:t>
      </w:r>
      <w:r w:rsidRPr="006A13F4">
        <w:rPr>
          <w:sz w:val="28"/>
          <w:szCs w:val="28"/>
        </w:rPr>
        <w:t>НДуп</w:t>
      </w:r>
    </w:p>
    <w:p w:rsidR="00514280" w:rsidRPr="006A13F4" w:rsidRDefault="00C639A9" w:rsidP="00514280">
      <w:pPr>
        <w:ind w:left="5670"/>
        <w:jc w:val="both"/>
        <w:rPr>
          <w:sz w:val="28"/>
          <w:szCs w:val="28"/>
          <w:lang w:bidi="ar-SA"/>
        </w:rPr>
      </w:pPr>
      <w:r>
        <w:rPr>
          <w:sz w:val="28"/>
          <w:szCs w:val="28"/>
        </w:rPr>
        <w:t>АНО</w:t>
      </w:r>
      <w:r w:rsidR="00514280" w:rsidRPr="006A13F4">
        <w:rPr>
          <w:sz w:val="28"/>
          <w:szCs w:val="28"/>
        </w:rPr>
        <w:t xml:space="preserve"> </w:t>
      </w:r>
      <w:proofErr w:type="gramStart"/>
      <w:r w:rsidR="00514280" w:rsidRPr="006A13F4">
        <w:rPr>
          <w:sz w:val="28"/>
          <w:szCs w:val="28"/>
        </w:rPr>
        <w:t>ВО</w:t>
      </w:r>
      <w:proofErr w:type="gramEnd"/>
      <w:r w:rsidR="00514280" w:rsidRPr="006A13F4">
        <w:rPr>
          <w:sz w:val="28"/>
          <w:szCs w:val="28"/>
        </w:rPr>
        <w:t xml:space="preserve"> «Московский университет «Синергия»</w:t>
      </w:r>
    </w:p>
    <w:p w:rsidR="00514280" w:rsidRPr="006A13F4" w:rsidRDefault="00514280" w:rsidP="006A13F4">
      <w:pPr>
        <w:adjustRightInd w:val="0"/>
        <w:spacing w:line="360" w:lineRule="auto"/>
        <w:ind w:firstLine="709"/>
        <w:jc w:val="both"/>
        <w:rPr>
          <w:sz w:val="28"/>
          <w:szCs w:val="28"/>
          <w:lang w:bidi="ar-SA"/>
        </w:rPr>
      </w:pP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Согласно той позиции, которая сегодня распространена в научной доктрине, такие понятия, как «уголовная ответственность несовершеннолетних», а также «наказание несовершеннолетних», имеют одну и ту же смысловую нагрузку.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Действительно, в научной среде существует точка зрения о синонимичности этих понятий, однако создатели Уголовного кодекса РФ 1996 года заложили в его структуру принципиально иной, более широкий подход.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УК РФ проводит четкую градацию между этими понятиями, что непосредственно отражено в структуре Раздела V «Уголовная ответственность несовершеннолетних»</w:t>
      </w:r>
      <w:r w:rsidRPr="00C639A9">
        <w:rPr>
          <w:rFonts w:eastAsia="Calibri"/>
          <w:sz w:val="28"/>
          <w:szCs w:val="28"/>
          <w:vertAlign w:val="superscript"/>
          <w:lang w:bidi="ar-SA"/>
        </w:rPr>
        <w:footnoteReference w:id="1"/>
      </w:r>
      <w:r w:rsidRPr="00C639A9">
        <w:rPr>
          <w:rFonts w:eastAsia="Calibri"/>
          <w:sz w:val="28"/>
          <w:szCs w:val="28"/>
          <w:lang w:bidi="ar-SA"/>
        </w:rPr>
        <w:t>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Уголовная ответственность — это более широкое, родовое понятие. Она включает в себя не только наказание, но и иные меры уголовно-правового характера. Статья 87 УК РФ «Уголовная ответственность несовершеннолетних» (ч. 2) устанавливает «Несовершеннолетним, совершившим преступления, может быть назначено наказание либо к ним могут быть применены принудительные меры воспитательного воздействия». Таким образом, с точки зрения УК РФ, уголовная ответственность реализуется через две основные формы</w:t>
      </w:r>
      <w:r w:rsidRPr="00C639A9">
        <w:rPr>
          <w:rFonts w:eastAsia="Calibri"/>
          <w:sz w:val="28"/>
          <w:szCs w:val="28"/>
          <w:vertAlign w:val="superscript"/>
          <w:lang w:bidi="ar-SA"/>
        </w:rPr>
        <w:footnoteReference w:id="2"/>
      </w:r>
      <w:r w:rsidRPr="00C639A9">
        <w:rPr>
          <w:rFonts w:eastAsia="Calibri"/>
          <w:sz w:val="28"/>
          <w:szCs w:val="28"/>
          <w:lang w:bidi="ar-SA"/>
        </w:rPr>
        <w:t>: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- назначение наказания (ст. 88 УК РФ);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lastRenderedPageBreak/>
        <w:t>- применение принудительных мер воспитательного воздействия (ст. 90, 92 УК РФ), которые не являются наказанием и применяются как альтернатива ему.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Наказание — это лишь одна, пусть и самая строгая, форма реализации уголовной ответственности. Оно исчерпывающим образом перечислено в ст. 88 УК РФ «Виды наказаний, назначаемых несовершеннолетним».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Позиция авторов УК РФ и поддерживающей ее доктрины. Создатели Уголовного кодекса Российской Федерации и представители научной доктрины, поддерживающие заложенный в нем подход, выстраивают свою концепцию на нескольких взаимосвязанных тезисах. Центральным из них является положение о том, что основной целью уголовно-правового воздействия в отношении несовершеннолетнего выступает его исправление. С этой точки зрения, наказание рассматривается не как единственный и безусловный инструмент, а как одна из возможных мер, причем воспитательные подходы зачастую демонстрируют высокую эффективность в достижении поставленных целей.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Важную роль в данной концепции играет принцип гуманизма и экономии репрессии, в соответствии с которым законодатель стремится к максимально возможному ограничению применения карательных мер к несовершеннолетним. Именно этой задаче служит предоставление суду альтернативы в виде принудительных мер воспитательного воздействия, которые, не будучи наказанием, не влекут и судимости.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Структурное решение законодателя — выделение отдельной главы, посвященной ПМВВ, в рамках Раздела об ответственности несовершеннолетних — не является техническим, а имеет принципиальное значение. Оно подчеркивает, что эти меры рассматриваются как полноценный, легитимный способ реализации уголовной ответственности, интегрированный в ее систему, а не как нечто внешнее по отношению к ней.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 xml:space="preserve">Классическая формулировка, отражающая замысел законодателя, определяет уголовную ответственность несовершеннолетних как основанную </w:t>
      </w:r>
      <w:r w:rsidRPr="00C639A9">
        <w:rPr>
          <w:rFonts w:eastAsia="Calibri"/>
          <w:sz w:val="28"/>
          <w:szCs w:val="28"/>
          <w:lang w:bidi="ar-SA"/>
        </w:rPr>
        <w:lastRenderedPageBreak/>
        <w:t>на нормах уголовного закона и применяемую от имени государства обвинительную реакцию на преступное деяние, совершенное лицом в возрасте от 14 до 18 лет. Эта реакция выражается в применении к нему специфических форм уголовно-правового воздействия, каковыми являются наказание или принудительные меры воспитательного воздействия, и преследует своей целью его исправление и предупреждение новых преступлений.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 xml:space="preserve">Альтернативная позиция в доктрине уголовного права. В научном сообществе существует альтернативный подход к пониманию природы уголовной ответственности несовершеннолетних, сторонники </w:t>
      </w:r>
      <w:proofErr w:type="gramStart"/>
      <w:r w:rsidRPr="00C639A9">
        <w:rPr>
          <w:rFonts w:eastAsia="Calibri"/>
          <w:sz w:val="28"/>
          <w:szCs w:val="28"/>
          <w:lang w:bidi="ar-SA"/>
        </w:rPr>
        <w:t>которого</w:t>
      </w:r>
      <w:proofErr w:type="gramEnd"/>
      <w:r w:rsidRPr="00C639A9">
        <w:rPr>
          <w:rFonts w:eastAsia="Calibri"/>
          <w:sz w:val="28"/>
          <w:szCs w:val="28"/>
          <w:lang w:bidi="ar-SA"/>
        </w:rPr>
        <w:t xml:space="preserve"> проводят четкое отождествление ответственности с наказанием. Данная концепция основывается на системе взаимосвязанных аргументов, раскрывающих принципиально иную трактовку правовой природы принудительных мер воспитательного воздействия.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С позиции логико-лингвистического анализа, понятие «ответственность» в его общеупотребительном значении предполагает неизбежное несение негативных последствий за совершенное деяние, каковым в уголовном праве выступает именно наказание. Следовательно, применение принудительных мер воспитательного воздействия рассматривается представителями этой научной школы не как форма реализации ответственности, а как освобождение от нее, поскольку такие меры лишены карательного элемента, составляющего, по их мнению, сущность уголовной ответственности.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 xml:space="preserve">Теоретическое обоснование данной позиции находит развитие в рамках теории состояния, согласно которой уголовная ответственность возникает в момент совершения преступления, но ее реальная реализация происходит исключительно через вынесение обвинительного приговора суда и назначение наказания. В этом контексте принудительные меры воспитательного воздействия квалифицируются как иные меры уголовно-правового характера, которые, несмотря на их принудительность, остаются за </w:t>
      </w:r>
      <w:r w:rsidRPr="00C639A9">
        <w:rPr>
          <w:rFonts w:eastAsia="Calibri"/>
          <w:sz w:val="28"/>
          <w:szCs w:val="28"/>
          <w:lang w:bidi="ar-SA"/>
        </w:rPr>
        <w:lastRenderedPageBreak/>
        <w:t>пределами содержания уголовной ответственности, образуя самостоятельный правовой институт.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Таким образом, современное российское законодательство исходит из широкой трактовки уголовной ответственности несовершеннолетних, которая включает в себя как наказание, так и принудительные меры воспитательного воздействия. Это является его ключевой особенностью и отражением приоритета воспитательных начал в отношении несовершеннолетних правонарушителей.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 xml:space="preserve">Система наказаний, применяемых к несовершеннолетним, представляет собой специальный, строго регламентированный институт уголовного права, основанный на принципах гуманизма, индивидуализации и приоритета воспитательного воздействия. Система наказаний для несовершеннолетних характеризуется ограниченным перечнем и смягченными сроками/размерами по сравнению с наказаниями для взрослых. Это отражает принцип гуманизма и </w:t>
      </w:r>
      <w:proofErr w:type="gramStart"/>
      <w:r w:rsidRPr="00C639A9">
        <w:rPr>
          <w:rFonts w:eastAsia="Calibri"/>
          <w:sz w:val="28"/>
          <w:szCs w:val="28"/>
          <w:lang w:bidi="ar-SA"/>
        </w:rPr>
        <w:t>приоритета</w:t>
      </w:r>
      <w:proofErr w:type="gramEnd"/>
      <w:r w:rsidRPr="00C639A9">
        <w:rPr>
          <w:rFonts w:eastAsia="Calibri"/>
          <w:sz w:val="28"/>
          <w:szCs w:val="28"/>
          <w:lang w:bidi="ar-SA"/>
        </w:rPr>
        <w:t xml:space="preserve"> воспитательных мер</w:t>
      </w:r>
      <w:r w:rsidRPr="00C639A9">
        <w:rPr>
          <w:rFonts w:eastAsia="Calibri"/>
          <w:sz w:val="28"/>
          <w:szCs w:val="28"/>
          <w:vertAlign w:val="superscript"/>
          <w:lang w:bidi="ar-SA"/>
        </w:rPr>
        <w:footnoteReference w:id="3"/>
      </w:r>
      <w:r w:rsidRPr="00C639A9">
        <w:rPr>
          <w:rFonts w:eastAsia="Calibri"/>
          <w:sz w:val="28"/>
          <w:szCs w:val="28"/>
          <w:lang w:bidi="ar-SA"/>
        </w:rPr>
        <w:t>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 xml:space="preserve">Система наказаний для несовершеннолетних в российском уголовном праве характеризуется рядом принципиальных особенностей, отражающих специфику подхода к данной категории правонарушителей. В соответствии со статьей 88 УК РФ, законодатель установил существенно суженный по сравнению </w:t>
      </w:r>
      <w:proofErr w:type="gramStart"/>
      <w:r w:rsidRPr="00C639A9">
        <w:rPr>
          <w:rFonts w:eastAsia="Calibri"/>
          <w:sz w:val="28"/>
          <w:szCs w:val="28"/>
          <w:lang w:bidi="ar-SA"/>
        </w:rPr>
        <w:t>со</w:t>
      </w:r>
      <w:proofErr w:type="gramEnd"/>
      <w:r w:rsidRPr="00C639A9">
        <w:rPr>
          <w:rFonts w:eastAsia="Calibri"/>
          <w:sz w:val="28"/>
          <w:szCs w:val="28"/>
          <w:lang w:bidi="ar-SA"/>
        </w:rPr>
        <w:t xml:space="preserve"> взрослыми перечень допустимых наказаний, исключив из него наиболее строгие и карательные меры, такие как смертная казнь, пожизненное лишение свободы, лишение права занимать определенные должности, ограничение по военной службе и содержание в дисциплинарной воинской части. Вместо них применяются преимущественно </w:t>
      </w:r>
      <w:proofErr w:type="spellStart"/>
      <w:r w:rsidRPr="00C639A9">
        <w:rPr>
          <w:rFonts w:eastAsia="Calibri"/>
          <w:sz w:val="28"/>
          <w:szCs w:val="28"/>
          <w:lang w:bidi="ar-SA"/>
        </w:rPr>
        <w:t>воспитательно</w:t>
      </w:r>
      <w:proofErr w:type="spellEnd"/>
      <w:r w:rsidRPr="00C639A9">
        <w:rPr>
          <w:rFonts w:eastAsia="Calibri"/>
          <w:sz w:val="28"/>
          <w:szCs w:val="28"/>
          <w:lang w:bidi="ar-SA"/>
        </w:rPr>
        <w:t>-коррекционные меры, включая штраф, лишение права заниматься определенной деятельностью, обязательные и исправительные работы, ограничение свободы, а также лишение свободы на определенный срок как наиболее строгое наказание.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lastRenderedPageBreak/>
        <w:t>Важной характеристикой системы является установление смягченных размеров и сроков наказаний. Штраф назначается в пределах от 1 000 до 50 000 рублей или в размере заработка осужденного за период от двух недель до шести месяцев, причем допускается его взыскание с родителей или опекунов с их согласия. Обязательные работы ограничены 40-160 часами с учетом возрастных ограничений по продолжительности ежедневного отбывания, а исправительные работы не могут превышать одного года. Наиболее существенное ограничение касается лишения свободы, максимальный срок которого составляет 10 лет независимо от тяжести преступления, причем отбывание происходит в специализированных воспитательных колониях.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Законодатель предусматривает специальные ограничения при назначении лишения свободы, исключающие применение этой меры к несовершеннолетним, впервые совершившим преступления небольшой тяжести, а также преступления средней тяжести. Согласно статье 89 УК РФ, суд обязан учитывать условия жизни и воспитания несовершеннолетнего, уровень его психического развития, влияние старших по возрасту лиц и иные индивидуальные особенности личности.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Особенностью системы выступает альтернативный механизм принудительных мер воспитательного воздействия, предусмотренный статьями 90 и 92 УК РФ, который включает предупреждение, передачу под надзор, возложение обязанности загладить причиненный вред, ограничение досуга и установление особых требований к поведению. Дополнительными гарантиями служат льготные условия освобождения от наказания, в том числе условно-досрочное освобождение после отбытия сокращенных сроков наказания и сокращенные сроки погашения судимости.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Процессуальное законодательство обеспечивает дополнительные гарантии защиты прав несовершеннолетних через обязательное участие защитника и законного представителя, привлечение педагога или психолога при проведении допроса, а также установление специальных временных ограничений для следственных действий.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lastRenderedPageBreak/>
        <w:t xml:space="preserve">Система наказаний для несовершеннолетних в российском уголовном праве представляет собой специальный гуманный правовой институт, </w:t>
      </w:r>
      <w:proofErr w:type="gramStart"/>
      <w:r w:rsidRPr="00C639A9">
        <w:rPr>
          <w:rFonts w:eastAsia="Calibri"/>
          <w:sz w:val="28"/>
          <w:szCs w:val="28"/>
          <w:lang w:bidi="ar-SA"/>
        </w:rPr>
        <w:t>ориентированный</w:t>
      </w:r>
      <w:proofErr w:type="gramEnd"/>
      <w:r w:rsidRPr="00C639A9">
        <w:rPr>
          <w:rFonts w:eastAsia="Calibri"/>
          <w:sz w:val="28"/>
          <w:szCs w:val="28"/>
          <w:lang w:bidi="ar-SA"/>
        </w:rPr>
        <w:t xml:space="preserve"> прежде всего на исправление и перевоспитание, а не на возмездие. Она создает максимальные возможности для применения воспитательных мер и сохранения социальных связей несовершеннолетнего правонарушителя</w:t>
      </w:r>
      <w:r w:rsidRPr="00C639A9">
        <w:rPr>
          <w:rFonts w:eastAsia="Calibri"/>
          <w:sz w:val="28"/>
          <w:szCs w:val="28"/>
          <w:vertAlign w:val="superscript"/>
          <w:lang w:bidi="ar-SA"/>
        </w:rPr>
        <w:footnoteReference w:id="4"/>
      </w:r>
      <w:r w:rsidRPr="00C639A9">
        <w:rPr>
          <w:rFonts w:eastAsia="Calibri"/>
          <w:sz w:val="28"/>
          <w:szCs w:val="28"/>
          <w:lang w:bidi="ar-SA"/>
        </w:rPr>
        <w:t>.</w:t>
      </w:r>
    </w:p>
    <w:p w:rsidR="00C639A9" w:rsidRPr="00C639A9" w:rsidRDefault="00C639A9" w:rsidP="00C639A9">
      <w:pPr>
        <w:widowControl/>
        <w:autoSpaceDE/>
        <w:autoSpaceDN/>
        <w:ind w:firstLine="851"/>
        <w:jc w:val="right"/>
        <w:rPr>
          <w:rFonts w:eastAsia="Calibri"/>
          <w:b/>
          <w:sz w:val="28"/>
          <w:szCs w:val="28"/>
          <w:lang w:bidi="ar-SA"/>
        </w:rPr>
      </w:pPr>
      <w:r w:rsidRPr="00C639A9">
        <w:rPr>
          <w:rFonts w:eastAsia="Calibri"/>
          <w:b/>
          <w:sz w:val="28"/>
          <w:szCs w:val="28"/>
          <w:lang w:bidi="ar-SA"/>
        </w:rPr>
        <w:t>Таблица 3</w:t>
      </w:r>
    </w:p>
    <w:p w:rsidR="00C639A9" w:rsidRPr="00C639A9" w:rsidRDefault="00C639A9" w:rsidP="00C639A9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bidi="ar-SA"/>
        </w:rPr>
      </w:pPr>
      <w:r w:rsidRPr="00C639A9">
        <w:rPr>
          <w:rFonts w:eastAsia="Calibri"/>
          <w:b/>
          <w:sz w:val="28"/>
          <w:szCs w:val="28"/>
          <w:lang w:bidi="ar-SA"/>
        </w:rPr>
        <w:t>Сравнительная таблица: отличия от наказаний для взрослых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3572"/>
        <w:gridCol w:w="2822"/>
        <w:gridCol w:w="3177"/>
      </w:tblGrid>
      <w:tr w:rsidR="00C639A9" w:rsidRPr="00C639A9" w:rsidTr="00337A8F">
        <w:tc>
          <w:tcPr>
            <w:tcW w:w="3652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b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/>
                <w:sz w:val="24"/>
                <w:szCs w:val="24"/>
                <w:lang w:bidi="ar-SA"/>
              </w:rPr>
              <w:t>Вид наказания</w:t>
            </w:r>
          </w:p>
        </w:tc>
        <w:tc>
          <w:tcPr>
            <w:tcW w:w="2835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b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/>
                <w:sz w:val="24"/>
                <w:szCs w:val="24"/>
                <w:lang w:bidi="ar-SA"/>
              </w:rPr>
              <w:t>Несовершеннолетние</w:t>
            </w:r>
          </w:p>
        </w:tc>
        <w:tc>
          <w:tcPr>
            <w:tcW w:w="3260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b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/>
                <w:sz w:val="24"/>
                <w:szCs w:val="24"/>
                <w:lang w:bidi="ar-SA"/>
              </w:rPr>
              <w:t>Взрослые</w:t>
            </w:r>
          </w:p>
        </w:tc>
      </w:tr>
      <w:tr w:rsidR="00C639A9" w:rsidRPr="00C639A9" w:rsidTr="00337A8F">
        <w:tc>
          <w:tcPr>
            <w:tcW w:w="3652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Штраф</w:t>
            </w:r>
          </w:p>
        </w:tc>
        <w:tc>
          <w:tcPr>
            <w:tcW w:w="2835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1 000 - 50 000 ₽</w:t>
            </w:r>
          </w:p>
        </w:tc>
        <w:tc>
          <w:tcPr>
            <w:tcW w:w="3260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до 5 000 000 ₽</w:t>
            </w:r>
          </w:p>
        </w:tc>
      </w:tr>
      <w:tr w:rsidR="00C639A9" w:rsidRPr="00C639A9" w:rsidTr="00337A8F">
        <w:tc>
          <w:tcPr>
            <w:tcW w:w="3652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Обязательные работы</w:t>
            </w:r>
          </w:p>
        </w:tc>
        <w:tc>
          <w:tcPr>
            <w:tcW w:w="2835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40-160 часов</w:t>
            </w:r>
          </w:p>
        </w:tc>
        <w:tc>
          <w:tcPr>
            <w:tcW w:w="3260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60-480 часов</w:t>
            </w:r>
          </w:p>
        </w:tc>
      </w:tr>
      <w:tr w:rsidR="00C639A9" w:rsidRPr="00C639A9" w:rsidTr="00337A8F">
        <w:tc>
          <w:tcPr>
            <w:tcW w:w="3652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Исправительные работы</w:t>
            </w:r>
          </w:p>
        </w:tc>
        <w:tc>
          <w:tcPr>
            <w:tcW w:w="2835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до 1 года</w:t>
            </w:r>
          </w:p>
        </w:tc>
        <w:tc>
          <w:tcPr>
            <w:tcW w:w="3260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до 2 лет</w:t>
            </w:r>
          </w:p>
        </w:tc>
      </w:tr>
      <w:tr w:rsidR="00C639A9" w:rsidRPr="00C639A9" w:rsidTr="00337A8F">
        <w:tc>
          <w:tcPr>
            <w:tcW w:w="3652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Лишение свободы</w:t>
            </w:r>
          </w:p>
        </w:tc>
        <w:tc>
          <w:tcPr>
            <w:tcW w:w="2835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макс. 10 лет</w:t>
            </w:r>
          </w:p>
        </w:tc>
        <w:tc>
          <w:tcPr>
            <w:tcW w:w="3260" w:type="dxa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до 20-30 лет, пожизненно</w:t>
            </w:r>
          </w:p>
        </w:tc>
      </w:tr>
    </w:tbl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Таким образом, система наказаний для несовершеннолетних построена на принципах гуманизма и педагогического воздействия. Законодатель сознательно ограничивает применение строгих мер, создавая правовые механизмы для исправления подростков без изоляции от общества и с сохранением возможностей для их дальнейшей социальной адаптации.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Одной из основных задач уголовно правовой политики является снижение уровня детской преступности. Охарактеризуем ситуацию с уголовной ответственностью несовершеннолетних в России за последние три года (2022-2024) на основе данных Судебного департамента при Верховном Суде РФ и Росстата</w:t>
      </w:r>
      <w:r w:rsidRPr="00C639A9">
        <w:rPr>
          <w:rFonts w:eastAsia="Calibri"/>
          <w:sz w:val="28"/>
          <w:szCs w:val="28"/>
          <w:vertAlign w:val="superscript"/>
          <w:lang w:bidi="ar-SA"/>
        </w:rPr>
        <w:footnoteReference w:id="5"/>
      </w:r>
      <w:r w:rsidRPr="00C639A9">
        <w:rPr>
          <w:rFonts w:eastAsia="Calibri"/>
          <w:sz w:val="28"/>
          <w:szCs w:val="28"/>
          <w:lang w:bidi="ar-SA"/>
        </w:rPr>
        <w:t>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 xml:space="preserve">Основной вывод - устойчивое снижение числа осужденных несовершеннолетних. </w:t>
      </w:r>
      <w:proofErr w:type="gramStart"/>
      <w:r w:rsidRPr="00C639A9">
        <w:rPr>
          <w:rFonts w:eastAsia="Calibri"/>
          <w:sz w:val="28"/>
          <w:szCs w:val="28"/>
          <w:lang w:bidi="ar-SA"/>
        </w:rPr>
        <w:t>Это является продолжением долгосрочной тенденции, наблюдаемой последние 10-15 лет.</w:t>
      </w:r>
      <w:proofErr w:type="gramEnd"/>
      <w:r w:rsidRPr="00C639A9">
        <w:rPr>
          <w:rFonts w:eastAsia="Calibri"/>
          <w:sz w:val="28"/>
          <w:szCs w:val="28"/>
          <w:lang w:bidi="ar-SA"/>
        </w:rPr>
        <w:t xml:space="preserve"> Основные причины: демографический спад (меньше подростков в «криминогенном» возрасте), усиление профилактической работы, а также изменения в законодательстве, </w:t>
      </w:r>
      <w:r w:rsidRPr="00C639A9">
        <w:rPr>
          <w:rFonts w:eastAsia="Calibri"/>
          <w:sz w:val="28"/>
          <w:szCs w:val="28"/>
          <w:lang w:bidi="ar-SA"/>
        </w:rPr>
        <w:lastRenderedPageBreak/>
        <w:t>поощряющие применение мер воспитательного воздействия вместо уголовного наказания</w:t>
      </w:r>
      <w:r w:rsidRPr="00C639A9">
        <w:rPr>
          <w:rFonts w:eastAsia="Calibri"/>
          <w:sz w:val="28"/>
          <w:szCs w:val="28"/>
          <w:vertAlign w:val="superscript"/>
          <w:lang w:bidi="ar-SA"/>
        </w:rPr>
        <w:footnoteReference w:id="6"/>
      </w:r>
      <w:r w:rsidRPr="00C639A9">
        <w:rPr>
          <w:rFonts w:eastAsia="Calibri"/>
          <w:sz w:val="28"/>
          <w:szCs w:val="28"/>
          <w:lang w:bidi="ar-SA"/>
        </w:rPr>
        <w:t>.</w:t>
      </w:r>
    </w:p>
    <w:p w:rsidR="00C639A9" w:rsidRPr="00C639A9" w:rsidRDefault="00C639A9" w:rsidP="00C639A9">
      <w:pPr>
        <w:widowControl/>
        <w:autoSpaceDE/>
        <w:autoSpaceDN/>
        <w:ind w:firstLine="851"/>
        <w:jc w:val="right"/>
        <w:rPr>
          <w:rFonts w:eastAsia="Calibri"/>
          <w:b/>
          <w:sz w:val="28"/>
          <w:szCs w:val="28"/>
          <w:lang w:bidi="ar-SA"/>
        </w:rPr>
      </w:pPr>
      <w:r w:rsidRPr="00C639A9">
        <w:rPr>
          <w:rFonts w:eastAsia="Calibri"/>
          <w:b/>
          <w:sz w:val="28"/>
          <w:szCs w:val="28"/>
          <w:lang w:bidi="ar-SA"/>
        </w:rPr>
        <w:t>Таблица 2</w:t>
      </w:r>
    </w:p>
    <w:p w:rsidR="00C639A9" w:rsidRPr="00C639A9" w:rsidRDefault="00C639A9" w:rsidP="00C639A9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bidi="ar-SA"/>
        </w:rPr>
      </w:pPr>
      <w:r w:rsidRPr="00C639A9">
        <w:rPr>
          <w:rFonts w:eastAsia="Calibri"/>
          <w:b/>
          <w:sz w:val="28"/>
          <w:szCs w:val="28"/>
          <w:lang w:bidi="ar-SA"/>
        </w:rPr>
        <w:t>Статистические данные за 2022-2024 гг.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4203"/>
        <w:gridCol w:w="863"/>
        <w:gridCol w:w="863"/>
        <w:gridCol w:w="1242"/>
        <w:gridCol w:w="2400"/>
      </w:tblGrid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b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/>
                <w:sz w:val="24"/>
                <w:szCs w:val="24"/>
                <w:lang w:bidi="ar-SA"/>
              </w:rPr>
              <w:t>Показатель</w:t>
            </w:r>
          </w:p>
        </w:tc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b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/>
                <w:sz w:val="24"/>
                <w:szCs w:val="24"/>
                <w:lang w:bidi="ar-SA"/>
              </w:rPr>
              <w:t>2022 год</w:t>
            </w:r>
          </w:p>
        </w:tc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b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/>
                <w:sz w:val="24"/>
                <w:szCs w:val="24"/>
                <w:lang w:bidi="ar-SA"/>
              </w:rPr>
              <w:t>2023 год</w:t>
            </w:r>
          </w:p>
        </w:tc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b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/>
                <w:sz w:val="24"/>
                <w:szCs w:val="24"/>
                <w:lang w:bidi="ar-SA"/>
              </w:rPr>
              <w:t>2024 год</w:t>
            </w:r>
          </w:p>
        </w:tc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b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/>
                <w:sz w:val="24"/>
                <w:szCs w:val="24"/>
                <w:lang w:bidi="ar-SA"/>
              </w:rPr>
              <w:t>Динамика (2024 к 2022)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Всего осуждено несовершеннолетних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9 891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8 121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7 037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Снижение на 28.8%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Доля от общего числа осужденных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1,8%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1,6%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1,5%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Стабильно низкая доля</w:t>
            </w:r>
          </w:p>
        </w:tc>
      </w:tr>
      <w:tr w:rsidR="00C639A9" w:rsidRPr="00C639A9" w:rsidTr="00337A8F">
        <w:tc>
          <w:tcPr>
            <w:tcW w:w="0" w:type="auto"/>
            <w:gridSpan w:val="5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Распределение по возрасту (2024 г.)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14-15 лет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2 342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1 923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1 597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Существенное снижение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16-17 лет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7 549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6 198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5 440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Существенное снижение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Применение наказаний, не связанных с лишением свободы (2024 г.)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73%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Высокий и растущий показатель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Условное осуждение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58%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59%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60%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Стабильно высокое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Иные меры (штраф, работы и т.д.)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13%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14%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13%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Стабильно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Применение реального лишения свободы (2024 г.)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9%</w:t>
            </w: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 (630 чел.)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Стабильно низкий показатель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Принудительные меры воспитательного воздействия (ПМВВ)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4 803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4 861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4 822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Стабильно высокий уровень</w:t>
            </w:r>
          </w:p>
        </w:tc>
      </w:tr>
      <w:tr w:rsidR="00C639A9" w:rsidRPr="00C639A9" w:rsidTr="00337A8F">
        <w:tc>
          <w:tcPr>
            <w:tcW w:w="0" w:type="auto"/>
            <w:gridSpan w:val="5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Структура преступности (2024 г., примерная)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Кража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25%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24%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23%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Лидер, но доля снижается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Грабеж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10%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9%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9%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Разбой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3%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3%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3%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Преступления, связанные с наркотиками (незаконный оборот)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12%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13%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14%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bCs/>
                <w:sz w:val="24"/>
                <w:szCs w:val="24"/>
                <w:lang w:bidi="ar-SA"/>
              </w:rPr>
              <w:t>Тревожная растущая тенденция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Умышленное причинение тяжкого вреда здоровью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3%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3%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3%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Стабильно</w:t>
            </w:r>
          </w:p>
        </w:tc>
      </w:tr>
      <w:tr w:rsidR="00C639A9" w:rsidRPr="00C639A9" w:rsidTr="00337A8F">
        <w:tc>
          <w:tcPr>
            <w:tcW w:w="0" w:type="auto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Изнасилование, насильственные действия сексуального характера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2%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2%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2%</w:t>
            </w:r>
          </w:p>
        </w:tc>
        <w:tc>
          <w:tcPr>
            <w:tcW w:w="0" w:type="auto"/>
            <w:vAlign w:val="center"/>
            <w:hideMark/>
          </w:tcPr>
          <w:p w:rsidR="00C639A9" w:rsidRPr="00C639A9" w:rsidRDefault="00C639A9" w:rsidP="00C639A9">
            <w:pPr>
              <w:widowControl/>
              <w:autoSpaceDE/>
              <w:autoSpaceDN/>
              <w:jc w:val="center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C639A9">
              <w:rPr>
                <w:rFonts w:ascii="Times New Roman" w:hAnsi="Times New Roman"/>
                <w:sz w:val="24"/>
                <w:szCs w:val="24"/>
                <w:lang w:bidi="ar-SA"/>
              </w:rPr>
              <w:t>Стабильно</w:t>
            </w:r>
          </w:p>
        </w:tc>
      </w:tr>
    </w:tbl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Число осужденных несовершеннолетних снизилось за три года более чем на 2,8 тысячи человек. Это свидетельствует об общей эффективности государственной политики в сфере профилактики и ювенальной юстиции, устойчивая позитивная динамика снижения преступности.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 xml:space="preserve">73% осужденных получают наказания, не связанные с лишением свободы (условный срок, исправительные работы, штраф). Это полностью соответствует принципам гуманизма и международным стандартам, система работает на исправление. Ежегодно почти 5 тысячам подростков </w:t>
      </w:r>
      <w:r w:rsidRPr="00C639A9">
        <w:rPr>
          <w:rFonts w:eastAsia="Calibri"/>
          <w:sz w:val="28"/>
          <w:szCs w:val="28"/>
          <w:lang w:bidi="ar-SA"/>
        </w:rPr>
        <w:lastRenderedPageBreak/>
        <w:t>применяются ПМВВ. Это означает, что их дела прекращаются, и они не получают судимости, что дает им шанс на исправление без клейма преступника, альтернативы уголовной ответственности. Подавляющее большинство несовершеннолетних правонарушителей не изолируются от общества - доминирование гуманного подхода в судебной практике</w:t>
      </w:r>
      <w:r w:rsidRPr="00C639A9">
        <w:rPr>
          <w:rFonts w:eastAsia="Calibri"/>
          <w:sz w:val="28"/>
          <w:szCs w:val="28"/>
          <w:vertAlign w:val="superscript"/>
          <w:lang w:bidi="ar-SA"/>
        </w:rPr>
        <w:footnoteReference w:id="7"/>
      </w:r>
      <w:r w:rsidRPr="00C639A9">
        <w:rPr>
          <w:rFonts w:eastAsia="Calibri"/>
          <w:sz w:val="28"/>
          <w:szCs w:val="28"/>
          <w:lang w:bidi="ar-SA"/>
        </w:rPr>
        <w:t>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Снижается доля «традиционных» корыстных преступлений (кража, грабеж). Тревожный сигнал — рост доли преступлений, связанных с наркотиками. Это может быть связано с активным вовлечением подростков в "закладки" через интернет, что представляет собой новый, сложно предотвратимый вид преступности, требующий особых мер (</w:t>
      </w:r>
      <w:proofErr w:type="spellStart"/>
      <w:r w:rsidRPr="00C639A9">
        <w:rPr>
          <w:rFonts w:eastAsia="Calibri"/>
          <w:sz w:val="28"/>
          <w:szCs w:val="28"/>
          <w:lang w:bidi="ar-SA"/>
        </w:rPr>
        <w:t>киберпатрулирование</w:t>
      </w:r>
      <w:proofErr w:type="spellEnd"/>
      <w:r w:rsidRPr="00C639A9">
        <w:rPr>
          <w:rFonts w:eastAsia="Calibri"/>
          <w:sz w:val="28"/>
          <w:szCs w:val="28"/>
          <w:lang w:bidi="ar-SA"/>
        </w:rPr>
        <w:t xml:space="preserve">, работа с </w:t>
      </w:r>
      <w:proofErr w:type="spellStart"/>
      <w:r w:rsidRPr="00C639A9">
        <w:rPr>
          <w:rFonts w:eastAsia="Calibri"/>
          <w:sz w:val="28"/>
          <w:szCs w:val="28"/>
          <w:lang w:bidi="ar-SA"/>
        </w:rPr>
        <w:t>соцсетями</w:t>
      </w:r>
      <w:proofErr w:type="spellEnd"/>
      <w:r w:rsidRPr="00C639A9">
        <w:rPr>
          <w:rFonts w:eastAsia="Calibri"/>
          <w:sz w:val="28"/>
          <w:szCs w:val="28"/>
          <w:lang w:bidi="ar-SA"/>
        </w:rPr>
        <w:t xml:space="preserve">). Таким образом, происходит изменение структуры преступности - рост </w:t>
      </w:r>
      <w:proofErr w:type="spellStart"/>
      <w:r w:rsidRPr="00C639A9">
        <w:rPr>
          <w:rFonts w:eastAsia="Calibri"/>
          <w:sz w:val="28"/>
          <w:szCs w:val="28"/>
          <w:lang w:bidi="ar-SA"/>
        </w:rPr>
        <w:t>наркопреступлений</w:t>
      </w:r>
      <w:proofErr w:type="spellEnd"/>
      <w:r w:rsidRPr="00C639A9">
        <w:rPr>
          <w:rFonts w:eastAsia="Calibri"/>
          <w:sz w:val="28"/>
          <w:szCs w:val="28"/>
          <w:lang w:bidi="ar-SA"/>
        </w:rPr>
        <w:t>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Доля убийств, изнасилований и причинения тяжкого вреда здоровью остается стабильно низкой (в совокупности около 5-7% от всех преступлений несовершеннолетних). Это опровергает распространенные в обществе стереотипы о "тотальной жестокости" современной молодежи. Таким образом, происходит снижение числа тяжких насильственных преступлений.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Тот факт, что лишь около 9% (около 630 человек в 2024 г.) осужденных несовершеннолетних были приговорены к реальному лишению свободы, говорит о том, что эта мера применяется судами только за особо тяжкие преступления или к рецидивистам, т.е. реальное лишение свободы — это крайняя мера.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Уголовная политика Российской Федерации в отношении несовершеннолетних за последние три года демонстрирует высокую степень соответствия международным гуманитарным стандартам. Она ориентирована на профилактику и снижение общего уровня преступности; восстановительное правосудие и применение мер, не связанных с изоляцией; индивидуализацию ответственности и предоставление шанса на исправление.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Основные проблемы в современной России: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lastRenderedPageBreak/>
        <w:t xml:space="preserve">1. Борьба с </w:t>
      </w:r>
      <w:proofErr w:type="spellStart"/>
      <w:r w:rsidRPr="00C639A9">
        <w:rPr>
          <w:rFonts w:eastAsia="Calibri"/>
          <w:sz w:val="28"/>
          <w:szCs w:val="28"/>
          <w:lang w:bidi="ar-SA"/>
        </w:rPr>
        <w:t>киберпреступностью</w:t>
      </w:r>
      <w:proofErr w:type="spellEnd"/>
      <w:r w:rsidRPr="00C639A9">
        <w:rPr>
          <w:rFonts w:eastAsia="Calibri"/>
          <w:sz w:val="28"/>
          <w:szCs w:val="28"/>
          <w:lang w:bidi="ar-SA"/>
        </w:rPr>
        <w:t xml:space="preserve"> и наркоторговлей в интернете, активно вовлекающей подростков.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 xml:space="preserve">2. Повышение эффективности принудительных мер воспитательного воздействия, чтобы они были не просто формальностью, а реальной программой </w:t>
      </w:r>
      <w:proofErr w:type="spellStart"/>
      <w:r w:rsidRPr="00C639A9">
        <w:rPr>
          <w:rFonts w:eastAsia="Calibri"/>
          <w:sz w:val="28"/>
          <w:szCs w:val="28"/>
          <w:lang w:bidi="ar-SA"/>
        </w:rPr>
        <w:t>ресоциализации</w:t>
      </w:r>
      <w:proofErr w:type="spellEnd"/>
      <w:r w:rsidRPr="00C639A9">
        <w:rPr>
          <w:rFonts w:eastAsia="Calibri"/>
          <w:sz w:val="28"/>
          <w:szCs w:val="28"/>
          <w:lang w:bidi="ar-SA"/>
        </w:rPr>
        <w:t>.</w:t>
      </w:r>
    </w:p>
    <w:p w:rsidR="00C639A9" w:rsidRPr="00C639A9" w:rsidRDefault="00C639A9" w:rsidP="00C639A9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 xml:space="preserve">3. Укрепление системы </w:t>
      </w:r>
      <w:proofErr w:type="spellStart"/>
      <w:r w:rsidRPr="00C639A9">
        <w:rPr>
          <w:rFonts w:eastAsia="Calibri"/>
          <w:sz w:val="28"/>
          <w:szCs w:val="28"/>
          <w:lang w:bidi="ar-SA"/>
        </w:rPr>
        <w:t>постпенитенциарного</w:t>
      </w:r>
      <w:proofErr w:type="spellEnd"/>
      <w:r w:rsidRPr="00C639A9">
        <w:rPr>
          <w:rFonts w:eastAsia="Calibri"/>
          <w:sz w:val="28"/>
          <w:szCs w:val="28"/>
          <w:lang w:bidi="ar-SA"/>
        </w:rPr>
        <w:t xml:space="preserve"> сопровождения для подростков, вернувшихся из воспитательных колоний, для предотвращения рецидива.</w:t>
      </w:r>
    </w:p>
    <w:p w:rsidR="00F96AAF" w:rsidRDefault="00C639A9" w:rsidP="00C639A9">
      <w:pPr>
        <w:adjustRightInd w:val="0"/>
        <w:spacing w:line="360" w:lineRule="auto"/>
        <w:ind w:firstLine="709"/>
        <w:jc w:val="both"/>
        <w:rPr>
          <w:sz w:val="28"/>
          <w:szCs w:val="28"/>
          <w:lang w:bidi="ar-SA"/>
        </w:rPr>
      </w:pPr>
      <w:r w:rsidRPr="00C639A9">
        <w:rPr>
          <w:rFonts w:eastAsia="Calibri"/>
          <w:sz w:val="28"/>
          <w:szCs w:val="28"/>
          <w:lang w:bidi="ar-SA"/>
        </w:rPr>
        <w:t>Россия движется в верном направлении, делая акцент на исправлении, а не наказании несовершеннолетних правонарушителей.</w:t>
      </w:r>
    </w:p>
    <w:p w:rsidR="00F96AAF" w:rsidRPr="006A13F4" w:rsidRDefault="00F96AAF" w:rsidP="006A13F4">
      <w:pPr>
        <w:adjustRightInd w:val="0"/>
        <w:spacing w:line="360" w:lineRule="auto"/>
        <w:ind w:firstLine="709"/>
        <w:jc w:val="both"/>
        <w:rPr>
          <w:sz w:val="28"/>
          <w:szCs w:val="28"/>
          <w:lang w:bidi="ar-SA"/>
        </w:rPr>
      </w:pPr>
      <w:bookmarkStart w:id="0" w:name="_GoBack"/>
      <w:bookmarkEnd w:id="0"/>
    </w:p>
    <w:sectPr w:rsidR="00F96AAF" w:rsidRPr="006A13F4" w:rsidSect="00267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A19" w:rsidRDefault="00F61A19" w:rsidP="00C2049F">
      <w:r>
        <w:separator/>
      </w:r>
    </w:p>
  </w:endnote>
  <w:endnote w:type="continuationSeparator" w:id="0">
    <w:p w:rsidR="00F61A19" w:rsidRDefault="00F61A19" w:rsidP="00C20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A19" w:rsidRDefault="00F61A19" w:rsidP="00C2049F">
      <w:r>
        <w:separator/>
      </w:r>
    </w:p>
  </w:footnote>
  <w:footnote w:type="continuationSeparator" w:id="0">
    <w:p w:rsidR="00F61A19" w:rsidRDefault="00F61A19" w:rsidP="00C2049F">
      <w:r>
        <w:continuationSeparator/>
      </w:r>
    </w:p>
  </w:footnote>
  <w:footnote w:id="1">
    <w:p w:rsidR="00C639A9" w:rsidRPr="009F6AC2" w:rsidRDefault="00C639A9" w:rsidP="00C639A9">
      <w:pPr>
        <w:pStyle w:val="a3"/>
      </w:pPr>
      <w:r w:rsidRPr="009F6AC2">
        <w:rPr>
          <w:rStyle w:val="a5"/>
        </w:rPr>
        <w:footnoteRef/>
      </w:r>
      <w:r w:rsidRPr="009F6AC2">
        <w:t xml:space="preserve"> "Уголовный кодекс Российской Федерации" от 13.06.1996 N 63-ФЗ (ред. от 31.07.2025) (с изм. и доп., вступ. в силу с 01.09.2025) // "Российская газета", N 113, 18.06.1996, N 114, 19.06.1996, N 115, 20.06.1996, N 118, 25.06.1996.</w:t>
      </w:r>
    </w:p>
  </w:footnote>
  <w:footnote w:id="2">
    <w:p w:rsidR="00C639A9" w:rsidRPr="009F6AC2" w:rsidRDefault="00C639A9" w:rsidP="00C639A9">
      <w:pPr>
        <w:pStyle w:val="a3"/>
      </w:pPr>
      <w:r w:rsidRPr="009F6AC2">
        <w:rPr>
          <w:rStyle w:val="a5"/>
        </w:rPr>
        <w:footnoteRef/>
      </w:r>
      <w:r w:rsidRPr="009F6AC2">
        <w:t xml:space="preserve"> Комментарий к Уголовному кодексу Российской Федерации (постатейный) / отв. ред. В.М. Лебедев. – 20-е изд., </w:t>
      </w:r>
      <w:proofErr w:type="spellStart"/>
      <w:r w:rsidRPr="009F6AC2">
        <w:t>перераб</w:t>
      </w:r>
      <w:proofErr w:type="spellEnd"/>
      <w:r w:rsidRPr="009F6AC2">
        <w:t xml:space="preserve">. и доп. – М.: </w:t>
      </w:r>
      <w:proofErr w:type="spellStart"/>
      <w:r w:rsidRPr="009F6AC2">
        <w:t>Юрайт</w:t>
      </w:r>
      <w:proofErr w:type="spellEnd"/>
      <w:r w:rsidRPr="009F6AC2">
        <w:t xml:space="preserve">, 2023. – </w:t>
      </w:r>
      <w:r>
        <w:t>С. 845</w:t>
      </w:r>
      <w:r w:rsidRPr="009F6AC2">
        <w:t>. – (Профессиональные комментарии). – Комментарий к ст. 87, 90.</w:t>
      </w:r>
    </w:p>
  </w:footnote>
  <w:footnote w:id="3">
    <w:p w:rsidR="00C639A9" w:rsidRPr="009F6AC2" w:rsidRDefault="00C639A9" w:rsidP="00C639A9">
      <w:pPr>
        <w:pStyle w:val="a3"/>
      </w:pPr>
      <w:r w:rsidRPr="009F6AC2">
        <w:rPr>
          <w:rStyle w:val="a5"/>
        </w:rPr>
        <w:footnoteRef/>
      </w:r>
      <w:r w:rsidRPr="009F6AC2">
        <w:t xml:space="preserve"> Беляева, В. Г. Основные аспекты уголовной ответственности несовершеннолетних / В. Г. Беляева, К. С. </w:t>
      </w:r>
      <w:proofErr w:type="spellStart"/>
      <w:r w:rsidRPr="009F6AC2">
        <w:t>Тенитилова</w:t>
      </w:r>
      <w:proofErr w:type="spellEnd"/>
      <w:r w:rsidRPr="009F6AC2">
        <w:t xml:space="preserve">, С. М. </w:t>
      </w:r>
      <w:proofErr w:type="spellStart"/>
      <w:r w:rsidRPr="009F6AC2">
        <w:t>Абаева</w:t>
      </w:r>
      <w:proofErr w:type="spellEnd"/>
      <w:r w:rsidRPr="009F6AC2">
        <w:t xml:space="preserve"> // Трибуна ученого. – 2021. – № 7. – С. 54. – EDN FIMFGU.</w:t>
      </w:r>
    </w:p>
  </w:footnote>
  <w:footnote w:id="4">
    <w:p w:rsidR="00C639A9" w:rsidRPr="009F6AC2" w:rsidRDefault="00C639A9" w:rsidP="00C639A9">
      <w:pPr>
        <w:pStyle w:val="a3"/>
      </w:pPr>
      <w:r w:rsidRPr="009F6AC2">
        <w:rPr>
          <w:rStyle w:val="a5"/>
        </w:rPr>
        <w:footnoteRef/>
      </w:r>
      <w:r w:rsidRPr="009F6AC2">
        <w:t xml:space="preserve"> </w:t>
      </w:r>
      <w:proofErr w:type="spellStart"/>
      <w:r w:rsidRPr="009F6AC2">
        <w:t>Окаева</w:t>
      </w:r>
      <w:proofErr w:type="spellEnd"/>
      <w:r w:rsidRPr="009F6AC2">
        <w:t xml:space="preserve">, А. С. К вопросу об уголовной ответственности и наказании несовершеннолетних / А. С. </w:t>
      </w:r>
      <w:proofErr w:type="spellStart"/>
      <w:r w:rsidRPr="009F6AC2">
        <w:t>Окаева</w:t>
      </w:r>
      <w:proofErr w:type="spellEnd"/>
      <w:r w:rsidRPr="009F6AC2">
        <w:t xml:space="preserve"> // Вопросы российского и международного права. – 2024. – Т. 14, № 4-1. – С. 3</w:t>
      </w:r>
      <w:r>
        <w:t>40</w:t>
      </w:r>
      <w:r w:rsidRPr="009F6AC2">
        <w:t>. – EDN EDZBMH.</w:t>
      </w:r>
    </w:p>
  </w:footnote>
  <w:footnote w:id="5">
    <w:p w:rsidR="00C639A9" w:rsidRPr="009F6AC2" w:rsidRDefault="00C639A9" w:rsidP="00C639A9">
      <w:pPr>
        <w:pStyle w:val="a3"/>
      </w:pPr>
      <w:r w:rsidRPr="009F6AC2">
        <w:rPr>
          <w:rStyle w:val="a5"/>
        </w:rPr>
        <w:footnoteRef/>
      </w:r>
      <w:r w:rsidRPr="009F6AC2">
        <w:t xml:space="preserve"> https://www.kommersant.ru/doc/8139948?ysclid=mh1vn6muka122525691</w:t>
      </w:r>
    </w:p>
  </w:footnote>
  <w:footnote w:id="6">
    <w:p w:rsidR="00C639A9" w:rsidRPr="009F6AC2" w:rsidRDefault="00C639A9" w:rsidP="00C639A9">
      <w:pPr>
        <w:pStyle w:val="a3"/>
      </w:pPr>
      <w:r w:rsidRPr="009F6AC2">
        <w:rPr>
          <w:rStyle w:val="a5"/>
        </w:rPr>
        <w:footnoteRef/>
      </w:r>
      <w:r w:rsidRPr="009F6AC2">
        <w:t xml:space="preserve"> https://www.fedstat.ru/indicator/43836</w:t>
      </w:r>
    </w:p>
  </w:footnote>
  <w:footnote w:id="7">
    <w:p w:rsidR="00C639A9" w:rsidRPr="009F6AC2" w:rsidRDefault="00C639A9" w:rsidP="00C639A9">
      <w:pPr>
        <w:pStyle w:val="a3"/>
      </w:pPr>
      <w:r w:rsidRPr="009F6AC2">
        <w:rPr>
          <w:rStyle w:val="a5"/>
        </w:rPr>
        <w:footnoteRef/>
      </w:r>
      <w:r w:rsidRPr="009F6AC2">
        <w:t xml:space="preserve"> https://epp.genproc.gov.ru/ru/gprf/activity/crimestat/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32F2D"/>
    <w:multiLevelType w:val="hybridMultilevel"/>
    <w:tmpl w:val="352C63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C495767"/>
    <w:multiLevelType w:val="hybridMultilevel"/>
    <w:tmpl w:val="EBB058B4"/>
    <w:lvl w:ilvl="0" w:tplc="A05C6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FE43E58"/>
    <w:multiLevelType w:val="hybridMultilevel"/>
    <w:tmpl w:val="0A301888"/>
    <w:lvl w:ilvl="0" w:tplc="4E4E691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C0"/>
    <w:rsid w:val="00036B2C"/>
    <w:rsid w:val="00053D0D"/>
    <w:rsid w:val="001A5A13"/>
    <w:rsid w:val="001A6E40"/>
    <w:rsid w:val="001A75ED"/>
    <w:rsid w:val="001D3B51"/>
    <w:rsid w:val="001E279A"/>
    <w:rsid w:val="00234255"/>
    <w:rsid w:val="00260D49"/>
    <w:rsid w:val="002674E7"/>
    <w:rsid w:val="0037450D"/>
    <w:rsid w:val="003D310C"/>
    <w:rsid w:val="004A3902"/>
    <w:rsid w:val="00514280"/>
    <w:rsid w:val="005A72F7"/>
    <w:rsid w:val="00605F55"/>
    <w:rsid w:val="006A13F4"/>
    <w:rsid w:val="00760D02"/>
    <w:rsid w:val="007A6E0B"/>
    <w:rsid w:val="008D240D"/>
    <w:rsid w:val="00995BFF"/>
    <w:rsid w:val="00BB0E00"/>
    <w:rsid w:val="00BB3CC0"/>
    <w:rsid w:val="00C2049F"/>
    <w:rsid w:val="00C639A9"/>
    <w:rsid w:val="00CE0918"/>
    <w:rsid w:val="00DD76F2"/>
    <w:rsid w:val="00E139BC"/>
    <w:rsid w:val="00F00385"/>
    <w:rsid w:val="00F6012D"/>
    <w:rsid w:val="00F61A19"/>
    <w:rsid w:val="00F9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B3CC0"/>
    <w:pPr>
      <w:widowControl w:val="0"/>
      <w:autoSpaceDE w:val="0"/>
      <w:autoSpaceDN w:val="0"/>
      <w:spacing w:line="240" w:lineRule="auto"/>
      <w:jc w:val="left"/>
    </w:pPr>
    <w:rPr>
      <w:rFonts w:eastAsia="Times New Roman" w:cs="Times New Roman"/>
      <w:sz w:val="2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049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2049F"/>
    <w:rPr>
      <w:rFonts w:eastAsia="Times New Roman" w:cs="Times New Roman"/>
      <w:sz w:val="20"/>
      <w:szCs w:val="20"/>
      <w:lang w:eastAsia="ru-RU" w:bidi="ru-RU"/>
    </w:rPr>
  </w:style>
  <w:style w:type="character" w:styleId="a5">
    <w:name w:val="footnote reference"/>
    <w:aliases w:val="Знак сноски 1,Знак сноски-FN,Ciae niinee-FN,Referencia nota al pie"/>
    <w:basedOn w:val="a0"/>
    <w:uiPriority w:val="99"/>
    <w:unhideWhenUsed/>
    <w:rsid w:val="00C2049F"/>
    <w:rPr>
      <w:vertAlign w:val="superscript"/>
    </w:rPr>
  </w:style>
  <w:style w:type="paragraph" w:styleId="a6">
    <w:name w:val="List Paragraph"/>
    <w:basedOn w:val="a"/>
    <w:uiPriority w:val="34"/>
    <w:qFormat/>
    <w:rsid w:val="00C2049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D76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76F2"/>
    <w:rPr>
      <w:rFonts w:ascii="Tahoma" w:eastAsia="Times New Roman" w:hAnsi="Tahoma" w:cs="Tahoma"/>
      <w:sz w:val="16"/>
      <w:szCs w:val="16"/>
      <w:lang w:eastAsia="ru-RU" w:bidi="ru-RU"/>
    </w:rPr>
  </w:style>
  <w:style w:type="table" w:customStyle="1" w:styleId="5">
    <w:name w:val="Сетка таблицы5"/>
    <w:basedOn w:val="a1"/>
    <w:next w:val="a9"/>
    <w:uiPriority w:val="59"/>
    <w:rsid w:val="00C639A9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C639A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900F3-F9C6-41C8-84F1-1D39CB24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2144</Words>
  <Characters>12225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cp:lastPrinted>2025-08-07T16:06:00Z</cp:lastPrinted>
  <dcterms:created xsi:type="dcterms:W3CDTF">2023-05-07T05:10:00Z</dcterms:created>
  <dcterms:modified xsi:type="dcterms:W3CDTF">2026-01-20T15:12:00Z</dcterms:modified>
</cp:coreProperties>
</file>