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10" w14:textId="6D524ADB" w:rsidR="00B70782" w:rsidRPr="00713D6A" w:rsidRDefault="00713D6A" w:rsidP="00713D6A">
      <w:pPr>
        <w:pStyle w:val="1"/>
        <w:jc w:val="center"/>
        <w:rPr>
          <w:b/>
          <w:bCs/>
          <w:sz w:val="28"/>
          <w:szCs w:val="28"/>
          <w:lang w:val="ru-RU"/>
        </w:rPr>
      </w:pPr>
      <w:r w:rsidRPr="00713D6A">
        <w:rPr>
          <w:b/>
          <w:bCs/>
          <w:sz w:val="28"/>
          <w:szCs w:val="28"/>
        </w:rPr>
        <w:t>Электронные рецепты и другие инновации 2022 года</w:t>
      </w:r>
    </w:p>
    <w:p w14:paraId="00000011" w14:textId="77777777" w:rsidR="00B70782" w:rsidRDefault="00000000">
      <w:pPr>
        <w:ind w:left="283"/>
      </w:pPr>
      <w:r>
        <w:t>С апреля 2019 года Министерство здравоохранения России утвердило возможность выдачи электронных рецептов (ЭР) вместо бумажных. Переход стал законным основанием для оформления цифровых документов как бюджетными, так и частными медицинскими учреждениями. К общей системе постепенно подключаются аптеки разных регионов.</w:t>
      </w:r>
    </w:p>
    <w:p w14:paraId="00000012" w14:textId="77777777" w:rsidR="00B70782" w:rsidRDefault="00000000">
      <w:pPr>
        <w:ind w:left="283"/>
        <w:rPr>
          <w:sz w:val="28"/>
          <w:szCs w:val="28"/>
        </w:rPr>
      </w:pPr>
      <w:r>
        <w:t xml:space="preserve">В 2021 году вышла обновленная версия документа, утверждающего порядок назначения медицинских препаратов и оформления рецептурных бланков, — </w:t>
      </w:r>
      <w:hyperlink r:id="rId5">
        <w:r>
          <w:t>приказ №1094н</w:t>
        </w:r>
      </w:hyperlink>
      <w:r>
        <w:t>. Документ регламентировал выдачу и использование электронных рецептов.</w:t>
      </w:r>
    </w:p>
    <w:p w14:paraId="00000013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14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Электронный рецепт — это юридически значимый, современный аналог обычного бумажного назначения, который стал новым этапом цифровизации здравоохранения в России. Данные о пациенте и назначенных ему медикаментах вносят в единую систему медицинского учета, оттуда они попадают в единую базу, где формируется необходимый документ.</w:t>
      </w:r>
    </w:p>
    <w:p w14:paraId="00000015" w14:textId="77777777" w:rsidR="00B70782" w:rsidRDefault="00B70782">
      <w:pPr>
        <w:ind w:left="283"/>
        <w:jc w:val="center"/>
      </w:pPr>
    </w:p>
    <w:p w14:paraId="00000016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На основании данных генерируется QR-код, с помощью которого можно приобрести лекарство или получить его в аптеке. Легальность рецепта подтверждается цифровой подписью врача, который делает назначение. Выписка электронных рецептов на лекарства соответствует требованиям закона, такой документ можно открыть на смартфоне, ПК или распечатать при необходимости. </w:t>
      </w:r>
      <w:hyperlink r:id="rId6">
        <w:r>
          <w:t>Приказ</w:t>
        </w:r>
      </w:hyperlink>
      <w:r>
        <w:t xml:space="preserve"> определяет не только форму бланков ЭР, но и ряд других моментов:</w:t>
      </w:r>
    </w:p>
    <w:p w14:paraId="00000017" w14:textId="77777777" w:rsidR="00B70782" w:rsidRDefault="00B70782">
      <w:pPr>
        <w:ind w:firstLine="0"/>
        <w:jc w:val="center"/>
      </w:pPr>
    </w:p>
    <w:p w14:paraId="00000018" w14:textId="77777777" w:rsidR="00B70782" w:rsidRDefault="00000000">
      <w:pPr>
        <w:numPr>
          <w:ilvl w:val="0"/>
          <w:numId w:val="3"/>
        </w:numPr>
        <w:ind w:left="1020"/>
      </w:pPr>
      <w:r>
        <w:t>информацию о рекомендуемой дозировке действующего вещества;</w:t>
      </w:r>
    </w:p>
    <w:p w14:paraId="00000019" w14:textId="77777777" w:rsidR="00B70782" w:rsidRDefault="00000000">
      <w:pPr>
        <w:numPr>
          <w:ilvl w:val="0"/>
          <w:numId w:val="3"/>
        </w:numPr>
        <w:ind w:left="1020"/>
      </w:pPr>
      <w:r>
        <w:t>сведения о режиме приема и количестве отпускаемого препарата;</w:t>
      </w:r>
    </w:p>
    <w:p w14:paraId="0000001A" w14:textId="77777777" w:rsidR="00B70782" w:rsidRDefault="00000000">
      <w:pPr>
        <w:numPr>
          <w:ilvl w:val="0"/>
          <w:numId w:val="3"/>
        </w:numPr>
        <w:spacing w:after="160"/>
        <w:ind w:left="1020"/>
      </w:pPr>
      <w:r>
        <w:t>данные о продолжительности приема лекарства.</w:t>
      </w:r>
    </w:p>
    <w:p w14:paraId="0000001B" w14:textId="77777777" w:rsidR="00B70782" w:rsidRDefault="00B70782">
      <w:pPr>
        <w:ind w:firstLine="0"/>
        <w:jc w:val="center"/>
      </w:pPr>
    </w:p>
    <w:p w14:paraId="0000001C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Электронный рецепт нельзя потерять, повредить или подделать.</w:t>
      </w:r>
    </w:p>
    <w:p w14:paraId="0000001D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Оформление электронных рецептов упрощают работу медицинского персонала в медучреждениях, а также способствуют уменьшению очередей в аптеках. Обеспечивается централизованное надежное хранение всех выписанных рецептов. Улучшаются рабочие процессы аптек, поликлиник, стационаров и отдельных врачей.</w:t>
      </w:r>
    </w:p>
    <w:p w14:paraId="0000001E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1F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 Программное обеспечение для электронной выписки рецептов оснащено системой поддержки принятия решений на месте, которая уведомляет врача о возможных ошибках в рецепте до его передачи. Программа предлагает доктору проверить возможное наличие аллергии, подтвердить точность дозировки и выявить взаимодействие между лекарственными препаратами до передачи рецепта.</w:t>
      </w:r>
    </w:p>
    <w:p w14:paraId="00000020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Получить доступ к электронному рецепту пациент может либо на сайте государственных услуг, либо через мобильное приложение «Мой рецепт». В личном кабинете на сайте и в приложении отображаются все сделанные врачом назначения. Цифровой рецепт доступен не только лечащему доктору и пациенту, но и фармацевту. В приложении можно посмотреть историю выписки рецептов, подбирать аналоги лекарственных препаратов и оформлять заказы в удобной аптеке. Электронное хранение рецептурных записей неоценимо в ситуациях, </w:t>
      </w:r>
      <w:r>
        <w:lastRenderedPageBreak/>
        <w:t>когда безопасность пациента находится под угрозой, например, во время стихийных бедствий или отзыва лекарств.</w:t>
      </w:r>
    </w:p>
    <w:p w14:paraId="00000021" w14:textId="77777777" w:rsidR="00B70782" w:rsidRDefault="00B70782">
      <w:pPr>
        <w:ind w:left="283"/>
        <w:jc w:val="center"/>
      </w:pPr>
    </w:p>
    <w:p w14:paraId="00000022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Так, ЭР формируют единое информационное пространство, объединяющие стационарные лечебные учреждения, поликлиники и аптечные пункты по всей России. Предусмотрено внедрение автоматизированной системы управления оборотом лекарственных средств, в том числе льготных, а также инновационных медицинских </w:t>
      </w:r>
      <w:proofErr w:type="spellStart"/>
      <w:proofErr w:type="gramStart"/>
      <w:r>
        <w:t>технологий.Такой</w:t>
      </w:r>
      <w:proofErr w:type="spellEnd"/>
      <w:proofErr w:type="gramEnd"/>
      <w:r>
        <w:t xml:space="preserve"> механизм поможет следить за оборотом лекарств, снизить количество поддельных документов, а также контролировать терапию пациентов по тем или иным профилям заболеваний и исключить бесконтрольный отпуск препаратов из аптек.</w:t>
      </w:r>
    </w:p>
    <w:p w14:paraId="00000023" w14:textId="77777777" w:rsidR="00B70782" w:rsidRDefault="00B70782">
      <w:pPr>
        <w:ind w:left="283"/>
      </w:pPr>
    </w:p>
    <w:p w14:paraId="00000024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Законодатели запланировали, что к 2023 году не менее 70% медучреждений перейдут на систему выдачи электронных направлений и рецептов. Проект внедрения электронного рецепта в систему "1</w:t>
      </w:r>
      <w:proofErr w:type="gramStart"/>
      <w:r>
        <w:t>С :Медицина</w:t>
      </w:r>
      <w:proofErr w:type="gramEnd"/>
      <w:r>
        <w:t>" предусматривает бесшовную интеграцию сервиса электронного рецепта в систему управления ресурсами медицинских организаций "1С:Медицина".</w:t>
      </w:r>
    </w:p>
    <w:p w14:paraId="00000025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26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Сегодня все больше российских регионов переходят на электронные рецепты. Многие государственные больницы и поликлиник уже переориентированы на цифровой документооборот и подключены к единой медицинской информационно-аналитической системе (ЕМИАС). С электронными рецептами работают все медицинские организации и аптеки, входящие в единую государственную инфосистему здравоохранения.</w:t>
      </w:r>
    </w:p>
    <w:p w14:paraId="00000027" w14:textId="77777777" w:rsidR="00B70782" w:rsidRDefault="00000000">
      <w:pPr>
        <w:pStyle w:val="2"/>
        <w:keepNext w:val="0"/>
        <w:keepLines w:val="0"/>
        <w:spacing w:line="240" w:lineRule="auto"/>
        <w:ind w:left="283"/>
      </w:pPr>
      <w:bookmarkStart w:id="0" w:name="_y2juy9zi0mw7" w:colFirst="0" w:colLast="0"/>
      <w:bookmarkEnd w:id="0"/>
      <w:r>
        <w:t>Электронные рецепты: опыт других стран</w:t>
      </w:r>
    </w:p>
    <w:p w14:paraId="00000028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По пути перехода на электронную систему выдачи медицинских документов пошли уже многие страны. В единую цифровую систему вовлечены не только лечащие врачи и провизоры, но и страховые компании и контролирующие организации.</w:t>
      </w:r>
    </w:p>
    <w:p w14:paraId="00000029" w14:textId="77777777" w:rsidR="00B70782" w:rsidRDefault="00000000">
      <w:pPr>
        <w:pStyle w:val="3"/>
        <w:keepNext w:val="0"/>
        <w:keepLines w:val="0"/>
        <w:pBdr>
          <w:top w:val="none" w:sz="0" w:space="6" w:color="auto"/>
          <w:left w:val="none" w:sz="0" w:space="0" w:color="auto"/>
          <w:bottom w:val="none" w:sz="0" w:space="6" w:color="auto"/>
          <w:right w:val="none" w:sz="0" w:space="0" w:color="auto"/>
        </w:pBdr>
        <w:spacing w:before="0" w:after="0"/>
        <w:ind w:left="283"/>
        <w:jc w:val="center"/>
      </w:pPr>
      <w:bookmarkStart w:id="1" w:name="_1wo7gw3aje10" w:colFirst="0" w:colLast="0"/>
      <w:bookmarkEnd w:id="1"/>
      <w:r>
        <w:t>Евросоюз</w:t>
      </w:r>
    </w:p>
    <w:p w14:paraId="0000002A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Первыми внедрили систему ЭР Скандинавские страны. Например, в Швеции такие проекты стали появляться еще в 80-х годах прошлого столетия. Постепенно цифровые рецепты интегрировались в систему электронных медицинских карт. Сформировалась единая база, где хранятся данные обо всех выписанных препаратах в течение всего срока действия рецепта. При этом пациент не имеет доступа к самому ЭР, но может когда угодно получить лекарство в любой аптеке, просто подтвердив свою личность.</w:t>
      </w:r>
    </w:p>
    <w:p w14:paraId="0000002B" w14:textId="77777777" w:rsidR="00B70782" w:rsidRDefault="00B70782">
      <w:pPr>
        <w:ind w:left="283"/>
        <w:jc w:val="center"/>
      </w:pPr>
    </w:p>
    <w:p w14:paraId="0000002C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Сейчас Евросоюз планирует создать единую международную систему электронного здравоохранения. Если замысел будет реализован, то все граждане смогут получать по электронным рецептам лекарства в аптеке любого из 27 государств, входящих в ЕС.</w:t>
      </w:r>
    </w:p>
    <w:p w14:paraId="0000002D" w14:textId="77777777" w:rsidR="00B70782" w:rsidRDefault="00000000">
      <w:pPr>
        <w:pStyle w:val="3"/>
        <w:keepNext w:val="0"/>
        <w:keepLines w:val="0"/>
        <w:pBdr>
          <w:top w:val="none" w:sz="0" w:space="6" w:color="auto"/>
          <w:left w:val="none" w:sz="0" w:space="0" w:color="auto"/>
          <w:bottom w:val="none" w:sz="0" w:space="6" w:color="auto"/>
          <w:right w:val="none" w:sz="0" w:space="0" w:color="auto"/>
        </w:pBdr>
        <w:spacing w:before="0" w:after="0"/>
        <w:ind w:left="283"/>
        <w:jc w:val="center"/>
      </w:pPr>
      <w:bookmarkStart w:id="2" w:name="_k4tzflvgh13a" w:colFirst="0" w:colLast="0"/>
      <w:bookmarkEnd w:id="2"/>
      <w:r>
        <w:t>Великобритания</w:t>
      </w:r>
    </w:p>
    <w:p w14:paraId="0000002E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ЭР в Англии стали актуальны в 2018 году, года систему внедрили во всех учреждениях неотложной медпомощи Восточного Мидленда. А в 2019 году цифровые рецепты ввели уже по всей стране. Сегодня пациентам доступно два варианта услуг:</w:t>
      </w:r>
    </w:p>
    <w:p w14:paraId="0000002F" w14:textId="77777777" w:rsidR="00B70782" w:rsidRDefault="00B70782">
      <w:pPr>
        <w:ind w:left="283"/>
        <w:jc w:val="center"/>
      </w:pPr>
    </w:p>
    <w:p w14:paraId="00000030" w14:textId="77777777" w:rsidR="00B70782" w:rsidRDefault="00000000">
      <w:pPr>
        <w:numPr>
          <w:ilvl w:val="0"/>
          <w:numId w:val="2"/>
        </w:numPr>
        <w:ind w:left="283" w:firstLine="566"/>
      </w:pPr>
      <w:r>
        <w:lastRenderedPageBreak/>
        <w:t>бумажный рецепт со штрихкодом, позволяющий получить медикамент в любой аптеке, входящей в систему;</w:t>
      </w:r>
    </w:p>
    <w:p w14:paraId="00000031" w14:textId="77777777" w:rsidR="00B70782" w:rsidRDefault="00000000">
      <w:pPr>
        <w:numPr>
          <w:ilvl w:val="0"/>
          <w:numId w:val="2"/>
        </w:numPr>
        <w:spacing w:after="160"/>
        <w:ind w:left="283" w:firstLine="566"/>
      </w:pPr>
      <w:r>
        <w:t>электронный рецепт, который врач направляет в конкретную аптеку.</w:t>
      </w:r>
    </w:p>
    <w:p w14:paraId="00000032" w14:textId="77777777" w:rsidR="00B70782" w:rsidRDefault="00B70782">
      <w:pPr>
        <w:ind w:left="283"/>
        <w:jc w:val="center"/>
      </w:pPr>
    </w:p>
    <w:p w14:paraId="00000033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Примерно такая же система под названием </w:t>
      </w:r>
      <w:proofErr w:type="spellStart"/>
      <w:r>
        <w:t>Acute</w:t>
      </w:r>
      <w:proofErr w:type="spellEnd"/>
      <w:r>
        <w:t xml:space="preserve"> </w:t>
      </w:r>
      <w:proofErr w:type="spellStart"/>
      <w:r>
        <w:t>Medication</w:t>
      </w:r>
      <w:proofErr w:type="spellEnd"/>
      <w:r>
        <w:t xml:space="preserve"> Service (AMS) действует и в Шотландии.</w:t>
      </w:r>
    </w:p>
    <w:p w14:paraId="00000034" w14:textId="77777777" w:rsidR="00B70782" w:rsidRDefault="00000000">
      <w:pPr>
        <w:pStyle w:val="3"/>
        <w:keepNext w:val="0"/>
        <w:keepLines w:val="0"/>
        <w:pBdr>
          <w:top w:val="none" w:sz="0" w:space="6" w:color="auto"/>
          <w:left w:val="none" w:sz="0" w:space="0" w:color="auto"/>
          <w:bottom w:val="none" w:sz="0" w:space="6" w:color="auto"/>
          <w:right w:val="none" w:sz="0" w:space="0" w:color="auto"/>
        </w:pBdr>
        <w:spacing w:before="0" w:after="0"/>
        <w:ind w:left="283"/>
        <w:jc w:val="center"/>
      </w:pPr>
      <w:bookmarkStart w:id="3" w:name="_62w7bdhrmnbe" w:colFirst="0" w:colLast="0"/>
      <w:bookmarkEnd w:id="3"/>
      <w:r>
        <w:t>США</w:t>
      </w:r>
    </w:p>
    <w:p w14:paraId="00000035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В Америке внедрение единой системы электронных записей началось в 2009 году, когда правительство страны приняло закон о внедрении в медицину информационных технологий (HITECH). Так, на законодательном уровне было зафиксировано финансовое стимулирование организаций, использующих электронные медкарты и рецепты. За цифровизацию медучреждения получали дополнительное финансирование, а за использование бумажной документации — штрафы. На сегодняшний день электронные рецепты выписывает 85% врачей и 99% всех аптек в США. В Нью-Йорке и некоторых других штатах использование ЭР уже является обязательным.</w:t>
      </w:r>
    </w:p>
    <w:p w14:paraId="00000036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37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Также стоит отметить некоторые инновации в области медицинских технологий 2022 года:</w:t>
      </w:r>
    </w:p>
    <w:p w14:paraId="00000038" w14:textId="77777777" w:rsidR="00B70782" w:rsidRDefault="00000000">
      <w:pPr>
        <w:pStyle w:val="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bookmarkStart w:id="4" w:name="_ci1v4xlddxvu" w:colFirst="0" w:colLast="0"/>
      <w:bookmarkEnd w:id="4"/>
      <w:r>
        <w:t>1. Обнаружение тонких признаков наличия послеоперационных осложнений</w:t>
      </w:r>
    </w:p>
    <w:p w14:paraId="00000039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Острое повреждение почек - распространенное и серьезное осложнение, которое может развиться после кардиохирургических операций. Оно поражает около трети пациентов, перенесших операции на сердце, и очень дорого обходится системе здравоохранения и пациентам.</w:t>
      </w:r>
    </w:p>
    <w:p w14:paraId="0000003A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3B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Британская компания </w:t>
      </w:r>
      <w:proofErr w:type="spellStart"/>
      <w:r>
        <w:t>Rinicare</w:t>
      </w:r>
      <w:proofErr w:type="spellEnd"/>
      <w:r>
        <w:t xml:space="preserve"> разработала технологию прогнозирования риска под названием </w:t>
      </w:r>
      <w:proofErr w:type="spellStart"/>
      <w:r>
        <w:t>Stability</w:t>
      </w:r>
      <w:proofErr w:type="spellEnd"/>
      <w:r>
        <w:t xml:space="preserve"> UO. Она использует искусственный интеллект для анализа регулярно собираемых данных, в частности о мочеиспускании послеоперационных пациентов, находящихся на восстановлении. Платформа может выявлять тонкие признаки ухудшения состояния и действовать как система раннего предупреждения, предотвращая развитие опасных осложнений.</w:t>
      </w:r>
    </w:p>
    <w:p w14:paraId="0000003C" w14:textId="77777777" w:rsidR="00B70782" w:rsidRDefault="00000000">
      <w:pPr>
        <w:pStyle w:val="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bookmarkStart w:id="5" w:name="_7py3ud21jaoh" w:colFirst="0" w:colLast="0"/>
      <w:bookmarkEnd w:id="5"/>
      <w:r>
        <w:t>2. Эффективный метод лечения остеопороза</w:t>
      </w:r>
    </w:p>
    <w:p w14:paraId="0000003D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Остеопороз </w:t>
      </w:r>
      <w:proofErr w:type="gramStart"/>
      <w:r>
        <w:t>- это прогрессирующее заболевание</w:t>
      </w:r>
      <w:proofErr w:type="gramEnd"/>
      <w:r>
        <w:t xml:space="preserve"> костей, которым страдают миллионы людей во всем мире. Долгие поиски эффективного решения с тех пор привели к открытию низкоинтенсивной вибрации как средства лечения остеопороза. </w:t>
      </w:r>
    </w:p>
    <w:p w14:paraId="0000003E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3F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proofErr w:type="spellStart"/>
      <w:r>
        <w:t>Marodyne</w:t>
      </w:r>
      <w:proofErr w:type="spellEnd"/>
      <w:r>
        <w:t xml:space="preserve"> </w:t>
      </w:r>
      <w:proofErr w:type="spellStart"/>
      <w:r>
        <w:t>LiV</w:t>
      </w:r>
      <w:proofErr w:type="spellEnd"/>
      <w:r>
        <w:t xml:space="preserve"> </w:t>
      </w:r>
      <w:proofErr w:type="gramStart"/>
      <w:r>
        <w:t>- это первое одобренное медицинское устройство</w:t>
      </w:r>
      <w:proofErr w:type="gramEnd"/>
      <w:r>
        <w:t>, которое может как лечить, так и предотвращать это заболевание. Оно напоминает комплект весов для ванной комнаты с относительно мощным источником питания. Для проведения процедуры пациент просто встает на устройство. Аппарат калибруется в соответствии с его весом, чтобы обеспечить нужный уровень высокочастотной вибрации для стимулирования остеобластов (клеток, строящих кость) и подавления остеокластов (клеток, разрушающих кость).</w:t>
      </w:r>
    </w:p>
    <w:p w14:paraId="00000040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41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lastRenderedPageBreak/>
        <w:t>Исследования показывают, что использование устройства в течение всего 10 минут в день может помочь улучшить минеральную плотность костной ткани, остановить потерю костной ткани и стимулировать рост новой.</w:t>
      </w:r>
    </w:p>
    <w:p w14:paraId="00000042" w14:textId="77777777" w:rsidR="00B70782" w:rsidRDefault="00000000">
      <w:pPr>
        <w:pStyle w:val="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bookmarkStart w:id="6" w:name="_t00jwepuj8so" w:colFirst="0" w:colLast="0"/>
      <w:bookmarkEnd w:id="6"/>
      <w:r>
        <w:t>3. Набор "Сделай сам" для эндоскопии</w:t>
      </w:r>
    </w:p>
    <w:p w14:paraId="00000043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Синдром Барретта </w:t>
      </w:r>
      <w:proofErr w:type="gramStart"/>
      <w:r>
        <w:t>- это</w:t>
      </w:r>
      <w:proofErr w:type="gramEnd"/>
      <w:r>
        <w:t xml:space="preserve"> заболевание пищевода, которое может быть предшественником рака пищевода. Восемь из 10 пациентов, которым диагностируют и лечат этот вид рака на ранней стадии, проживут более пяти лет.</w:t>
      </w:r>
    </w:p>
    <w:p w14:paraId="00000044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45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Чтобы помочь выявить случаи синдрома Барретта быстрее, дешевле и удобнее, чем обычная эндоскопическая биопсия, компания </w:t>
      </w:r>
      <w:proofErr w:type="spellStart"/>
      <w:r>
        <w:t>Cyted</w:t>
      </w:r>
      <w:proofErr w:type="spellEnd"/>
      <w:r>
        <w:t xml:space="preserve"> разработала набор для тестирования под названием </w:t>
      </w:r>
      <w:proofErr w:type="spellStart"/>
      <w:r>
        <w:t>Cytosponge</w:t>
      </w:r>
      <w:proofErr w:type="spellEnd"/>
      <w:r>
        <w:t>. Он представляет собой капсулу размером с таблетку, прикрепленную к тонкой нити. Пациент проглатывает капсулу и большую часть нити. Через несколько минут оболочка растворяется в желудке, оставляя сферическую шершавую губку, которая собирает образец ткани из пищевода по мере того, как нить вытягивается обратно.</w:t>
      </w:r>
    </w:p>
    <w:p w14:paraId="00000046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47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Сейчас в Великобритании местная система здравоохранения начинает использовать 3 500 таких комплектов в Англии и Шотландии.</w:t>
      </w:r>
    </w:p>
    <w:p w14:paraId="00000048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49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Аналогичная технология, разрабатываемая для приема внутрь, направлена на другой конец пищеварительной системы. Компании Corporate Health International и West </w:t>
      </w:r>
      <w:proofErr w:type="spellStart"/>
      <w:r>
        <w:t>Midlands</w:t>
      </w:r>
      <w:proofErr w:type="spellEnd"/>
      <w:r>
        <w:t xml:space="preserve"> 5 разработали устройство размером с таблетку, содержащую две крошечные камеры. Попадая в толстую кишку пациента, этот "умный" прибор будет снимать и отправлять изображения прямо в лабораторию для анализа через сеть 5G, обеспечивая так называемую капсульную эндоскопию толстой кишки.</w:t>
      </w:r>
    </w:p>
    <w:p w14:paraId="0000004A" w14:textId="77777777" w:rsidR="00B70782" w:rsidRDefault="00000000">
      <w:pPr>
        <w:pStyle w:val="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bookmarkStart w:id="7" w:name="_i8fo5aullfkl" w:colFirst="0" w:colLast="0"/>
      <w:bookmarkEnd w:id="7"/>
      <w:r>
        <w:t>4. Гарнитура для здорового образа мыслей</w:t>
      </w:r>
    </w:p>
    <w:p w14:paraId="0000004B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Клинический психолог Даниэль </w:t>
      </w:r>
      <w:proofErr w:type="spellStart"/>
      <w:r>
        <w:t>Мёнссон</w:t>
      </w:r>
      <w:proofErr w:type="spellEnd"/>
      <w:r>
        <w:t xml:space="preserve"> и нейробиолог Эрик Рен разработали </w:t>
      </w:r>
      <w:proofErr w:type="spellStart"/>
      <w:r>
        <w:t>Flow</w:t>
      </w:r>
      <w:proofErr w:type="spellEnd"/>
      <w:r>
        <w:t xml:space="preserve"> - одобренное медициной домашнее средство для лечения депрессии. В нем используется устройство, похожее на наушники, для транскраниальной стимуляции постоянным током определенных участков мозга с целью восстановления баланса активности. Т.е. устройство работает, посылая слабый электрический ток, эквивалентный 9-вольтовой батарее, в лобные части мозга. В результате повышается активность в левой части лобной доли и снижается активность в правой части головного мозга.</w:t>
      </w:r>
    </w:p>
    <w:p w14:paraId="0000004C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4D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В комплект поставки входит приложение, содержащее видеоматериалы, информацию и советы, призванные помочь пациентам изменить свой образ жизни и поведение, что позволит уменьшить симптомы депрессии. Сеанс лечения длится полчаса, при этом рекомендуется провести 18 сеансов в течение шести недель, после чего возможно продолжение лечения до двух сеансов в неделю.</w:t>
      </w:r>
    </w:p>
    <w:p w14:paraId="0000004E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4F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Более трех четвертей (81%) пациентов отмечают уменьшение симптомов после трех недель использования гарнитуры в сочетании с приложением поведенческой терапии, которое включает виртуального терапевта для расширения возможностей и мотивации пользователей для управления своим лечением.</w:t>
      </w:r>
    </w:p>
    <w:p w14:paraId="00000050" w14:textId="77777777" w:rsidR="00B70782" w:rsidRDefault="00000000">
      <w:pPr>
        <w:pStyle w:val="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bookmarkStart w:id="8" w:name="_iiu25g43xggj" w:colFirst="0" w:colLast="0"/>
      <w:bookmarkEnd w:id="8"/>
      <w:r>
        <w:lastRenderedPageBreak/>
        <w:t>5. Двойное тестирование на рак молочной железы</w:t>
      </w:r>
    </w:p>
    <w:p w14:paraId="00000051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>Команда экспертов по искусственному интеллекту и ученых-онкологов создала платформу искусственного интеллекта, которая может обнаружить практически незаметные различия во внешнем виде раковых клеток. Эти различия позволяют получить важную информацию о молекулярном состоянии клеток, что, в свою очередь, может помочь выбрать наиболее подходящее лечение.</w:t>
      </w:r>
    </w:p>
    <w:p w14:paraId="00000052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53" w14:textId="77777777" w:rsidR="00B70782" w:rsidRDefault="000000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  <w:r>
        <w:t xml:space="preserve">Рак молочной железы является наиболее часто диагностируемой причиной смерти от рака среди женщин. Врачи, использующие платформу анализа изображений PAN </w:t>
      </w:r>
      <w:proofErr w:type="spellStart"/>
      <w:r>
        <w:t>Profiler</w:t>
      </w:r>
      <w:proofErr w:type="spellEnd"/>
      <w:r>
        <w:t xml:space="preserve"> компании </w:t>
      </w:r>
      <w:proofErr w:type="spellStart"/>
      <w:r>
        <w:t>Panakeia</w:t>
      </w:r>
      <w:proofErr w:type="spellEnd"/>
      <w:r>
        <w:t xml:space="preserve">, могут в течение 15 минут получить информацию, которая поможет им принять решение о лечении рака молочной железы. Недавно система была одобрена для использования в Великобритании и </w:t>
      </w:r>
      <w:proofErr w:type="spellStart"/>
      <w:r>
        <w:t>Европе.Компания</w:t>
      </w:r>
      <w:proofErr w:type="spellEnd"/>
      <w:r>
        <w:t xml:space="preserve"> </w:t>
      </w:r>
      <w:proofErr w:type="spellStart"/>
      <w:r>
        <w:t>Panakeia</w:t>
      </w:r>
      <w:proofErr w:type="spellEnd"/>
      <w:r>
        <w:t xml:space="preserve"> планирует развивать свою технологию для борьбы и с другими видами рака.</w:t>
      </w:r>
    </w:p>
    <w:p w14:paraId="00000054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283"/>
      </w:pPr>
    </w:p>
    <w:p w14:paraId="00000055" w14:textId="77777777" w:rsidR="00B70782" w:rsidRDefault="00B7078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</w:pPr>
    </w:p>
    <w:p w14:paraId="00000056" w14:textId="77777777" w:rsidR="00B70782" w:rsidRDefault="00000000">
      <w:pPr>
        <w:pStyle w:val="2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firstLine="0"/>
      </w:pPr>
      <w:bookmarkStart w:id="9" w:name="_llrnmiqnpcvl" w:colFirst="0" w:colLast="0"/>
      <w:bookmarkEnd w:id="9"/>
      <w:r>
        <w:br w:type="page"/>
      </w:r>
    </w:p>
    <w:p w14:paraId="00000057" w14:textId="77777777" w:rsidR="00B70782" w:rsidRDefault="00000000">
      <w:pPr>
        <w:pStyle w:val="2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line="240" w:lineRule="auto"/>
        <w:ind w:firstLine="0"/>
      </w:pPr>
      <w:bookmarkStart w:id="10" w:name="_9uer1sndlr9u" w:colFirst="0" w:colLast="0"/>
      <w:bookmarkEnd w:id="10"/>
      <w:r>
        <w:lastRenderedPageBreak/>
        <w:t xml:space="preserve">Список использованных источников </w:t>
      </w:r>
    </w:p>
    <w:p w14:paraId="00000058" w14:textId="77777777" w:rsidR="00B70782" w:rsidRDefault="00B70782"/>
    <w:p w14:paraId="00000059" w14:textId="77777777" w:rsidR="00B70782" w:rsidRDefault="00B70782">
      <w:pPr>
        <w:ind w:left="720" w:firstLine="0"/>
      </w:pPr>
    </w:p>
    <w:p w14:paraId="0000005A" w14:textId="77777777" w:rsidR="00B70782" w:rsidRDefault="00000000">
      <w:pPr>
        <w:numPr>
          <w:ilvl w:val="0"/>
          <w:numId w:val="1"/>
        </w:numPr>
      </w:pPr>
      <w:r>
        <w:t>Об обращении лекарственных средств: Федеральный закон от 12.04.2010 - N 61-ФЗ</w:t>
      </w:r>
    </w:p>
    <w:p w14:paraId="0000005B" w14:textId="77777777" w:rsidR="00B70782" w:rsidRDefault="00000000">
      <w:pPr>
        <w:numPr>
          <w:ilvl w:val="0"/>
          <w:numId w:val="1"/>
        </w:numPr>
      </w:pPr>
      <w:r>
        <w:t>Об утверждении Порядка назначения лекарственных препаратов, форм рецептурных бланков на лекарственные препараты, Порядка оформления указанных бланков, их учета и хранения, форм бланков рецептов, содержащих назначение наркотических средств или психотропных веществ, Порядка их изготовления, распределения, регистрации, учета и хранения, а также Правил оформления бланков рецептов, в том числе в форме электронных документов: Приказ МЗ РФ // Минздрав России. – 2021. – № 1094 н. – Ст. 4.</w:t>
      </w:r>
    </w:p>
    <w:p w14:paraId="0000005C" w14:textId="77777777" w:rsidR="00B70782" w:rsidRDefault="00000000">
      <w:pPr>
        <w:numPr>
          <w:ilvl w:val="0"/>
          <w:numId w:val="1"/>
        </w:numPr>
      </w:pPr>
      <w:r>
        <w:t>Мой рецепт: сайт. – URL: https://мой-рецепт.рф/</w:t>
      </w:r>
    </w:p>
    <w:p w14:paraId="0000005D" w14:textId="77777777" w:rsidR="00B70782" w:rsidRDefault="00000000">
      <w:pPr>
        <w:numPr>
          <w:ilvl w:val="0"/>
          <w:numId w:val="1"/>
        </w:numPr>
      </w:pPr>
      <w:r>
        <w:t xml:space="preserve">Платформа электронный рецепт: сайт. – URL: </w:t>
      </w:r>
      <w:hyperlink r:id="rId7">
        <w:r>
          <w:rPr>
            <w:color w:val="1155CC"/>
            <w:u w:val="single"/>
          </w:rPr>
          <w:t>https://erx.ru/</w:t>
        </w:r>
      </w:hyperlink>
    </w:p>
    <w:p w14:paraId="0000005E" w14:textId="77777777" w:rsidR="00B70782" w:rsidRDefault="00000000">
      <w:pPr>
        <w:numPr>
          <w:ilvl w:val="0"/>
          <w:numId w:val="1"/>
        </w:numPr>
      </w:pPr>
      <w:r>
        <w:t>Цифровая медицина: сайт. – URL: https://evercare.ru/</w:t>
      </w:r>
    </w:p>
    <w:p w14:paraId="0000005F" w14:textId="77777777" w:rsidR="00B70782" w:rsidRDefault="00B70782"/>
    <w:sectPr w:rsidR="00B70782">
      <w:pgSz w:w="11909" w:h="16834"/>
      <w:pgMar w:top="1133" w:right="1417" w:bottom="1133" w:left="1417" w:header="1133" w:footer="1133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ontserrat">
    <w:charset w:val="CC"/>
    <w:family w:val="auto"/>
    <w:pitch w:val="variable"/>
    <w:sig w:usb0="2000020F" w:usb1="00000003" w:usb2="00000000" w:usb3="00000000" w:csb0="00000197" w:csb1="00000000"/>
    <w:embedRegular r:id="rId1" w:fontKey="{BEEE1BB1-5609-4628-A1DE-6E24565FC89C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E1DAC196-CF2D-42F1-854B-E0FEC377E6B1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0371B0DC-A410-46F9-886A-E5DD414EB0E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821252"/>
    <w:multiLevelType w:val="multilevel"/>
    <w:tmpl w:val="2E00FB26"/>
    <w:lvl w:ilvl="0">
      <w:start w:val="1"/>
      <w:numFmt w:val="bullet"/>
      <w:lvlText w:val="●"/>
      <w:lvlJc w:val="left"/>
      <w:pPr>
        <w:ind w:left="720" w:hanging="360"/>
      </w:pPr>
      <w:rPr>
        <w:rFonts w:ascii="Montserrat" w:eastAsia="Montserrat" w:hAnsi="Montserrat" w:cs="Montserrat"/>
        <w:sz w:val="27"/>
        <w:szCs w:val="27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45702C7B"/>
    <w:multiLevelType w:val="multilevel"/>
    <w:tmpl w:val="5D1C70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CC132FA"/>
    <w:multiLevelType w:val="multilevel"/>
    <w:tmpl w:val="AA40D1DE"/>
    <w:lvl w:ilvl="0">
      <w:start w:val="1"/>
      <w:numFmt w:val="bullet"/>
      <w:lvlText w:val="●"/>
      <w:lvlJc w:val="left"/>
      <w:pPr>
        <w:ind w:left="720" w:hanging="360"/>
      </w:pPr>
      <w:rPr>
        <w:rFonts w:ascii="Montserrat" w:eastAsia="Montserrat" w:hAnsi="Montserrat" w:cs="Montserrat"/>
        <w:sz w:val="27"/>
        <w:szCs w:val="27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202129639">
    <w:abstractNumId w:val="1"/>
  </w:num>
  <w:num w:numId="2" w16cid:durableId="1886139596">
    <w:abstractNumId w:val="2"/>
  </w:num>
  <w:num w:numId="3" w16cid:durableId="20909543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0782"/>
    <w:rsid w:val="00713D6A"/>
    <w:rsid w:val="00B70782"/>
    <w:rsid w:val="00D573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C9352A"/>
  <w15:docId w15:val="{6F5A1AF5-0B27-41DE-99D8-88263F68AF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ru" w:eastAsia="ru-RU" w:bidi="ar-SA"/>
      </w:rPr>
    </w:rPrDefault>
    <w:pPrDefault>
      <w:pPr>
        <w:pBdr>
          <w:top w:val="none" w:sz="0" w:space="1" w:color="auto"/>
          <w:left w:val="none" w:sz="0" w:space="1" w:color="auto"/>
          <w:bottom w:val="none" w:sz="0" w:space="1" w:color="auto"/>
          <w:right w:val="none" w:sz="0" w:space="1" w:color="auto"/>
        </w:pBdr>
        <w:ind w:left="300" w:right="300" w:firstLine="566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pBdr>
        <w:top w:val="none" w:sz="0" w:space="6" w:color="auto"/>
        <w:bottom w:val="none" w:sz="0" w:space="6" w:color="auto"/>
      </w:pBdr>
      <w:spacing w:line="324" w:lineRule="auto"/>
      <w:jc w:val="center"/>
      <w:outlineLvl w:val="1"/>
    </w:pPr>
    <w:rPr>
      <w:sz w:val="28"/>
      <w:szCs w:val="28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  <w:style w:type="character" w:customStyle="1" w:styleId="10">
    <w:name w:val="Заголовок 1 Знак"/>
    <w:basedOn w:val="a0"/>
    <w:link w:val="1"/>
    <w:uiPriority w:val="9"/>
    <w:rsid w:val="00713D6A"/>
    <w:rPr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erx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docs.cntd.ru/document/552209224" TargetMode="External"/><Relationship Id="rId5" Type="http://schemas.openxmlformats.org/officeDocument/2006/relationships/hyperlink" Target="http://publication.pravo.gov.ru/Document/View/0001202111300115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1843</Words>
  <Characters>10511</Characters>
  <Application>Microsoft Office Word</Application>
  <DocSecurity>0</DocSecurity>
  <Lines>87</Lines>
  <Paragraphs>24</Paragraphs>
  <ScaleCrop>false</ScaleCrop>
  <Company/>
  <LinksUpToDate>false</LinksUpToDate>
  <CharactersWithSpaces>12330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Эльвира Мищук</cp:lastModifiedBy>
  <cp:revision>2</cp:revision>
  <dcterms:created xsi:type="dcterms:W3CDTF">2025-01-24T22:45:00Z</dcterms:created>
  <dcterms:modified xsi:type="dcterms:W3CDTF">2025-01-24T22:45:00Z</dcterms:modified>
</cp:coreProperties>
</file>