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87" w:rsidRPr="006A6B47" w:rsidRDefault="00A551B6" w:rsidP="005E3E74">
      <w:pPr>
        <w:spacing w:line="30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A6B47">
        <w:rPr>
          <w:rFonts w:ascii="Times New Roman" w:hAnsi="Times New Roman" w:cs="Times New Roman"/>
          <w:i/>
          <w:sz w:val="24"/>
          <w:szCs w:val="24"/>
        </w:rPr>
        <w:t xml:space="preserve">Наталья Александровна </w:t>
      </w:r>
      <w:proofErr w:type="spellStart"/>
      <w:r w:rsidRPr="006A6B47">
        <w:rPr>
          <w:rFonts w:ascii="Times New Roman" w:hAnsi="Times New Roman" w:cs="Times New Roman"/>
          <w:i/>
          <w:sz w:val="24"/>
          <w:szCs w:val="24"/>
        </w:rPr>
        <w:t>Бутырина</w:t>
      </w:r>
      <w:proofErr w:type="spellEnd"/>
    </w:p>
    <w:p w:rsidR="00B7101D" w:rsidRPr="00B7101D" w:rsidRDefault="0009042C" w:rsidP="0009042C">
      <w:pPr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B7101D">
        <w:rPr>
          <w:rFonts w:ascii="Times New Roman" w:hAnsi="Times New Roman" w:cs="Times New Roman"/>
        </w:rPr>
        <w:t xml:space="preserve">                                                       </w:t>
      </w:r>
      <w:r w:rsidR="00A551B6" w:rsidRPr="00B7101D">
        <w:rPr>
          <w:rFonts w:ascii="Times New Roman" w:hAnsi="Times New Roman" w:cs="Times New Roman"/>
        </w:rPr>
        <w:t>Мариупольский</w:t>
      </w:r>
      <w:r w:rsidR="00A551B6" w:rsidRPr="0009042C">
        <w:rPr>
          <w:rFonts w:ascii="Times New Roman" w:hAnsi="Times New Roman" w:cs="Times New Roman"/>
          <w:i/>
        </w:rPr>
        <w:t xml:space="preserve"> </w:t>
      </w:r>
      <w:r w:rsidR="00A551B6" w:rsidRPr="00B7101D">
        <w:rPr>
          <w:rFonts w:ascii="Times New Roman" w:hAnsi="Times New Roman" w:cs="Times New Roman"/>
        </w:rPr>
        <w:t>государственный</w:t>
      </w:r>
    </w:p>
    <w:p w:rsidR="00851A86" w:rsidRDefault="00B7101D" w:rsidP="0009042C">
      <w:pPr>
        <w:spacing w:line="300" w:lineRule="auto"/>
        <w:jc w:val="center"/>
        <w:rPr>
          <w:rFonts w:ascii="Times New Roman" w:hAnsi="Times New Roman" w:cs="Times New Roman"/>
        </w:rPr>
      </w:pPr>
      <w:r w:rsidRPr="00B7101D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09042C" w:rsidRPr="00B7101D">
        <w:rPr>
          <w:rFonts w:ascii="Times New Roman" w:hAnsi="Times New Roman" w:cs="Times New Roman"/>
        </w:rPr>
        <w:t xml:space="preserve"> </w:t>
      </w:r>
      <w:r w:rsidR="00A551B6" w:rsidRPr="00B7101D">
        <w:rPr>
          <w:rFonts w:ascii="Times New Roman" w:hAnsi="Times New Roman" w:cs="Times New Roman"/>
        </w:rPr>
        <w:t>университет им. А.И. Куинджи</w:t>
      </w:r>
    </w:p>
    <w:p w:rsidR="004E3307" w:rsidRDefault="00DD37ED" w:rsidP="0009042C">
      <w:pPr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851A86">
        <w:rPr>
          <w:rFonts w:ascii="Times New Roman" w:hAnsi="Times New Roman" w:cs="Times New Roman"/>
        </w:rPr>
        <w:t>г</w:t>
      </w:r>
      <w:proofErr w:type="gramStart"/>
      <w:r w:rsidR="00851A86">
        <w:rPr>
          <w:rFonts w:ascii="Times New Roman" w:hAnsi="Times New Roman" w:cs="Times New Roman"/>
        </w:rPr>
        <w:t>.М</w:t>
      </w:r>
      <w:proofErr w:type="gramEnd"/>
      <w:r w:rsidR="00851A86">
        <w:rPr>
          <w:rFonts w:ascii="Times New Roman" w:hAnsi="Times New Roman" w:cs="Times New Roman"/>
        </w:rPr>
        <w:t>ариуполь</w:t>
      </w:r>
      <w:r w:rsidR="00FD4DE1">
        <w:rPr>
          <w:rFonts w:ascii="Times New Roman" w:hAnsi="Times New Roman" w:cs="Times New Roman"/>
        </w:rPr>
        <w:t xml:space="preserve"> </w:t>
      </w:r>
    </w:p>
    <w:p w:rsidR="00FD4DE1" w:rsidRPr="00B7101D" w:rsidRDefault="00FD4DE1" w:rsidP="0009042C">
      <w:pPr>
        <w:spacing w:line="300" w:lineRule="auto"/>
        <w:jc w:val="center"/>
        <w:rPr>
          <w:rFonts w:ascii="Times New Roman" w:hAnsi="Times New Roman" w:cs="Times New Roman"/>
        </w:rPr>
      </w:pPr>
    </w:p>
    <w:p w:rsidR="00A551B6" w:rsidRDefault="00A551B6" w:rsidP="004E3307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4E5">
        <w:rPr>
          <w:rFonts w:ascii="Times New Roman" w:hAnsi="Times New Roman" w:cs="Times New Roman"/>
          <w:sz w:val="28"/>
          <w:szCs w:val="28"/>
        </w:rPr>
        <w:t xml:space="preserve">ИСТОРИЧЕСКИЕ ПРЕДПОСЫЛКИ </w:t>
      </w:r>
      <w:r w:rsidR="004E3307" w:rsidRPr="004804E5">
        <w:rPr>
          <w:rFonts w:ascii="Times New Roman" w:hAnsi="Times New Roman" w:cs="Times New Roman"/>
          <w:sz w:val="28"/>
          <w:szCs w:val="28"/>
        </w:rPr>
        <w:t>ТЕМЫ АПОКАЛИПСИСА В ЛИТЕРАТУРЕ ХХ ВЕКА</w:t>
      </w:r>
    </w:p>
    <w:p w:rsidR="00B63D22" w:rsidRPr="004804E5" w:rsidRDefault="00B63D22" w:rsidP="004E3307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307" w:rsidRPr="00FD4DE1" w:rsidRDefault="00B63D22" w:rsidP="00A551B6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FD4DE1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="004E3307" w:rsidRPr="00FD4D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101D" w:rsidRPr="00FD4DE1">
        <w:rPr>
          <w:rFonts w:ascii="Times New Roman" w:hAnsi="Times New Roman" w:cs="Times New Roman"/>
          <w:sz w:val="28"/>
          <w:szCs w:val="28"/>
        </w:rPr>
        <w:t>В статье актуализируется проблема апокалипсиса.</w:t>
      </w:r>
      <w:r w:rsidR="00B7101D" w:rsidRPr="00FD4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Возникло это направление в период становления христианства, примерно две тысячи лет назад. Для литературы этого жанра свойственен крайний нигилизм - отрицание старого, прежних устоев жизни, отсюда ее жажда новой формы религиозного сознания, новой религии и крайний утопизм, - вера в возможность всеобщего спасения и преображения, в осуществление Царствия небесного на земле, а также вера в особое предназначение</w:t>
      </w:r>
    </w:p>
    <w:p w:rsidR="00DE70E8" w:rsidRDefault="004E3307" w:rsidP="00A551B6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 w:rsidRPr="00FD4DE1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B63D22" w:rsidRPr="00FD4D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3D22" w:rsidRPr="00FD4DE1">
        <w:rPr>
          <w:rFonts w:ascii="Times New Roman" w:hAnsi="Times New Roman" w:cs="Times New Roman"/>
          <w:sz w:val="28"/>
          <w:szCs w:val="28"/>
        </w:rPr>
        <w:t xml:space="preserve">апокалипсис, нигилизм, утопизм, </w:t>
      </w:r>
      <w:proofErr w:type="spellStart"/>
      <w:r w:rsidR="00B63D22" w:rsidRPr="00FD4DE1">
        <w:rPr>
          <w:rFonts w:ascii="Times New Roman" w:hAnsi="Times New Roman" w:cs="Times New Roman"/>
          <w:sz w:val="28"/>
          <w:szCs w:val="28"/>
        </w:rPr>
        <w:t>Библия</w:t>
      </w:r>
      <w:proofErr w:type="gramStart"/>
      <w:r w:rsidR="000953DA" w:rsidRPr="00FD4DE1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="000953DA" w:rsidRPr="00FD4DE1">
        <w:rPr>
          <w:rFonts w:ascii="Times New Roman" w:hAnsi="Times New Roman" w:cs="Times New Roman"/>
          <w:sz w:val="28"/>
          <w:szCs w:val="28"/>
        </w:rPr>
        <w:t>ристос</w:t>
      </w:r>
      <w:proofErr w:type="spellEnd"/>
    </w:p>
    <w:p w:rsidR="004E3307" w:rsidRPr="00851A86" w:rsidRDefault="000953DA" w:rsidP="00A551B6">
      <w:pPr>
        <w:spacing w:line="3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51A8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E70E8" w:rsidRPr="00DD37ED" w:rsidRDefault="00DE70E8" w:rsidP="00DE70E8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85149">
        <w:rPr>
          <w:rFonts w:ascii="Times New Roman" w:hAnsi="Times New Roman" w:cs="Times New Roman"/>
          <w:lang w:val="en-U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             </w:t>
      </w:r>
      <w:r w:rsidRPr="00F85149">
        <w:rPr>
          <w:rFonts w:ascii="Times New Roman" w:hAnsi="Times New Roman" w:cs="Times New Roman"/>
          <w:lang w:val="en-US"/>
        </w:rPr>
        <w:t xml:space="preserve"> </w:t>
      </w:r>
      <w:r w:rsidR="00DD37ED">
        <w:rPr>
          <w:rFonts w:ascii="Times New Roman" w:hAnsi="Times New Roman" w:cs="Times New Roman"/>
        </w:rPr>
        <w:t xml:space="preserve">   </w:t>
      </w:r>
      <w:r w:rsidRPr="00DD37ED">
        <w:rPr>
          <w:rFonts w:ascii="Times New Roman" w:hAnsi="Times New Roman" w:cs="Times New Roman"/>
          <w:i/>
          <w:sz w:val="28"/>
          <w:szCs w:val="28"/>
          <w:lang w:val="en-US"/>
        </w:rPr>
        <w:t xml:space="preserve">Natalia </w:t>
      </w:r>
      <w:proofErr w:type="spellStart"/>
      <w:r w:rsidRPr="00DD37ED">
        <w:rPr>
          <w:rFonts w:ascii="Times New Roman" w:hAnsi="Times New Roman" w:cs="Times New Roman"/>
          <w:i/>
          <w:sz w:val="28"/>
          <w:szCs w:val="28"/>
          <w:lang w:val="en-US"/>
        </w:rPr>
        <w:t>Aleksandrovna</w:t>
      </w:r>
      <w:proofErr w:type="spellEnd"/>
      <w:r w:rsidRPr="00DD37E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DD37ED" w:rsidRPr="00DD37ED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DD37ED">
        <w:rPr>
          <w:rFonts w:ascii="Times New Roman" w:hAnsi="Times New Roman" w:cs="Times New Roman"/>
          <w:i/>
          <w:sz w:val="28"/>
          <w:szCs w:val="28"/>
          <w:lang w:val="en-US"/>
        </w:rPr>
        <w:t>Butyrina</w:t>
      </w:r>
      <w:proofErr w:type="spellEnd"/>
    </w:p>
    <w:p w:rsidR="00DE70E8" w:rsidRPr="00DC3CC1" w:rsidRDefault="00DE70E8" w:rsidP="00DE70E8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C3CC1">
        <w:rPr>
          <w:rFonts w:ascii="Times New Roman" w:hAnsi="Times New Roman" w:cs="Times New Roman"/>
          <w:sz w:val="28"/>
          <w:szCs w:val="28"/>
          <w:lang w:val="en-US"/>
        </w:rPr>
        <w:t>Mariupol</w:t>
      </w:r>
      <w:proofErr w:type="spellEnd"/>
      <w:r w:rsidRPr="00DC3CC1">
        <w:rPr>
          <w:rFonts w:ascii="Times New Roman" w:hAnsi="Times New Roman" w:cs="Times New Roman"/>
          <w:sz w:val="28"/>
          <w:szCs w:val="28"/>
          <w:lang w:val="en-US"/>
        </w:rPr>
        <w:t xml:space="preserve"> State University </w:t>
      </w:r>
    </w:p>
    <w:p w:rsidR="00DE70E8" w:rsidRPr="00DC3CC1" w:rsidRDefault="00DE70E8" w:rsidP="00DE70E8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C3CC1">
        <w:rPr>
          <w:rFonts w:ascii="Times New Roman" w:hAnsi="Times New Roman" w:cs="Times New Roman"/>
          <w:sz w:val="28"/>
          <w:szCs w:val="28"/>
          <w:lang w:val="en-US"/>
        </w:rPr>
        <w:t>named</w:t>
      </w:r>
      <w:proofErr w:type="gramEnd"/>
      <w:r w:rsidRPr="00DC3CC1">
        <w:rPr>
          <w:rFonts w:ascii="Times New Roman" w:hAnsi="Times New Roman" w:cs="Times New Roman"/>
          <w:sz w:val="28"/>
          <w:szCs w:val="28"/>
          <w:lang w:val="en-US"/>
        </w:rPr>
        <w:t xml:space="preserve"> after A.I. </w:t>
      </w:r>
      <w:proofErr w:type="spellStart"/>
      <w:r w:rsidRPr="00DC3CC1">
        <w:rPr>
          <w:rFonts w:ascii="Times New Roman" w:hAnsi="Times New Roman" w:cs="Times New Roman"/>
          <w:sz w:val="28"/>
          <w:szCs w:val="28"/>
          <w:lang w:val="en-US"/>
        </w:rPr>
        <w:t>Kuindzhi</w:t>
      </w:r>
      <w:proofErr w:type="spellEnd"/>
      <w:r w:rsidRPr="00DC3CC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DE70E8" w:rsidRPr="00851A86" w:rsidRDefault="00DE70E8" w:rsidP="00DE70E8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C3CC1">
        <w:rPr>
          <w:rFonts w:ascii="Times New Roman" w:hAnsi="Times New Roman" w:cs="Times New Roman"/>
          <w:sz w:val="28"/>
          <w:szCs w:val="28"/>
          <w:lang w:val="en-US"/>
        </w:rPr>
        <w:t>Mariupol</w:t>
      </w:r>
      <w:proofErr w:type="spellEnd"/>
    </w:p>
    <w:p w:rsidR="00DE70E8" w:rsidRPr="00851A86" w:rsidRDefault="00DE70E8" w:rsidP="00DE70E8">
      <w:pPr>
        <w:ind w:firstLine="708"/>
        <w:jc w:val="right"/>
        <w:rPr>
          <w:rFonts w:ascii="Times New Roman" w:hAnsi="Times New Roman" w:cs="Times New Roman"/>
          <w:lang w:val="en-US"/>
        </w:rPr>
      </w:pPr>
    </w:p>
    <w:p w:rsidR="00DE70E8" w:rsidRPr="00DC3CC1" w:rsidRDefault="00DE70E8" w:rsidP="00DE70E8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C3CC1">
        <w:rPr>
          <w:rFonts w:ascii="Times New Roman" w:hAnsi="Times New Roman" w:cs="Times New Roman"/>
          <w:sz w:val="28"/>
          <w:szCs w:val="28"/>
          <w:lang w:val="en-US"/>
        </w:rPr>
        <w:t>HISTORICAL BACKGROUND OF THE APOCALYPSE THEME</w:t>
      </w:r>
    </w:p>
    <w:p w:rsidR="00DE70E8" w:rsidRPr="00DC3CC1" w:rsidRDefault="00DE70E8" w:rsidP="00DE70E8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C3CC1">
        <w:rPr>
          <w:rFonts w:ascii="Times New Roman" w:hAnsi="Times New Roman" w:cs="Times New Roman"/>
          <w:sz w:val="28"/>
          <w:szCs w:val="28"/>
          <w:lang w:val="en-US"/>
        </w:rPr>
        <w:t>IN TWENTIETH-CENTURY LITERATURE</w:t>
      </w:r>
    </w:p>
    <w:p w:rsidR="00DE70E8" w:rsidRDefault="00DE70E8" w:rsidP="00DE70E8">
      <w:pPr>
        <w:ind w:firstLine="709"/>
        <w:jc w:val="center"/>
        <w:rPr>
          <w:rFonts w:ascii="Times New Roman" w:hAnsi="Times New Roman" w:cs="Times New Roman"/>
          <w:lang w:val="en-US"/>
        </w:rPr>
      </w:pPr>
    </w:p>
    <w:p w:rsidR="00DE70E8" w:rsidRPr="00DC3CC1" w:rsidRDefault="00DE70E8" w:rsidP="00DE70E8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DC3CC1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Annotation:</w:t>
      </w:r>
      <w:bookmarkEnd w:id="0"/>
      <w:r w:rsidRPr="00DC3CC1">
        <w:rPr>
          <w:rFonts w:ascii="Times New Roman" w:hAnsi="Times New Roman" w:cs="Times New Roman"/>
          <w:sz w:val="28"/>
          <w:szCs w:val="28"/>
          <w:lang w:val="en-US"/>
        </w:rPr>
        <w:t xml:space="preserve"> The article actualizes the problem of apocalypse. This trend emerged during the formation of Christianity, about two thousand years ago. The literature of this genre is characterized by extreme nihilism - the denial of the old, the old foundations of life</w:t>
      </w:r>
      <w:proofErr w:type="gramStart"/>
      <w:r w:rsidRPr="00DC3CC1">
        <w:rPr>
          <w:rFonts w:ascii="Times New Roman" w:hAnsi="Times New Roman" w:cs="Times New Roman"/>
          <w:sz w:val="28"/>
          <w:szCs w:val="28"/>
          <w:lang w:val="en-US"/>
        </w:rPr>
        <w:t>,  hence</w:t>
      </w:r>
      <w:proofErr w:type="gramEnd"/>
      <w:r w:rsidRPr="00DC3CC1">
        <w:rPr>
          <w:rFonts w:ascii="Times New Roman" w:hAnsi="Times New Roman" w:cs="Times New Roman"/>
          <w:sz w:val="28"/>
          <w:szCs w:val="28"/>
          <w:lang w:val="en-US"/>
        </w:rPr>
        <w:t xml:space="preserve"> its thirst for a new form of religious consciousness, a new religion and extreme utopianism - the belief in the possibility of universal salvation and transformation, in the realization of the Kingdom of Heaven on earth, as well as the belief in a special purpose.</w:t>
      </w:r>
    </w:p>
    <w:p w:rsidR="00DE70E8" w:rsidRPr="00DC3CC1" w:rsidRDefault="00DE70E8" w:rsidP="00DE70E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E70E8" w:rsidRPr="00DC3CC1" w:rsidRDefault="00DE70E8" w:rsidP="00DE70E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C3CC1">
        <w:rPr>
          <w:rFonts w:ascii="Times New Roman" w:hAnsi="Times New Roman" w:cs="Times New Roman"/>
          <w:b/>
          <w:i/>
          <w:sz w:val="28"/>
          <w:szCs w:val="28"/>
          <w:lang w:val="en-US"/>
        </w:rPr>
        <w:t>Keywords:</w:t>
      </w:r>
      <w:r w:rsidRPr="00DC3CC1">
        <w:rPr>
          <w:rFonts w:ascii="Times New Roman" w:hAnsi="Times New Roman" w:cs="Times New Roman"/>
          <w:sz w:val="28"/>
          <w:szCs w:val="28"/>
          <w:lang w:val="en-US"/>
        </w:rPr>
        <w:t xml:space="preserve"> apocalypse, nihilism, utopianism, the Bible, Christ.</w:t>
      </w:r>
    </w:p>
    <w:p w:rsidR="00DE70E8" w:rsidRPr="00DC3CC1" w:rsidRDefault="00DE70E8" w:rsidP="00DE70E8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DE70E8" w:rsidRDefault="00DE70E8" w:rsidP="00DE70E8">
      <w:pPr>
        <w:ind w:firstLine="709"/>
        <w:jc w:val="center"/>
        <w:rPr>
          <w:rFonts w:ascii="Times New Roman" w:hAnsi="Times New Roman" w:cs="Times New Roman"/>
          <w:lang w:val="en-US"/>
        </w:rPr>
      </w:pPr>
    </w:p>
    <w:p w:rsidR="004E3307" w:rsidRPr="00DE70E8" w:rsidRDefault="004E3307" w:rsidP="00DE70E8">
      <w:pPr>
        <w:tabs>
          <w:tab w:val="left" w:pos="8233"/>
        </w:tabs>
        <w:spacing w:line="30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2E3743" w:rsidRPr="00375BA0" w:rsidRDefault="00413CB6" w:rsidP="00375BA0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Библии на светскую литературу очень велико. Практически все произведения, созданные после принятия христианства</w:t>
      </w:r>
      <w:r w:rsidR="00375BA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несут в себе отголоски библейских мотивов в разных вариациях. </w:t>
      </w:r>
      <w:r w:rsidR="00375BA0">
        <w:rPr>
          <w:rFonts w:ascii="Times New Roman" w:hAnsi="Times New Roman" w:cs="Times New Roman"/>
          <w:sz w:val="28"/>
          <w:szCs w:val="28"/>
        </w:rPr>
        <w:t>О</w:t>
      </w:r>
      <w:r w:rsidR="00367F8F" w:rsidRPr="004804E5">
        <w:rPr>
          <w:rFonts w:ascii="Times New Roman" w:hAnsi="Times New Roman" w:cs="Times New Roman"/>
          <w:sz w:val="28"/>
          <w:szCs w:val="28"/>
        </w:rPr>
        <w:t>соб</w:t>
      </w:r>
      <w:r w:rsidR="00375BA0">
        <w:rPr>
          <w:rFonts w:ascii="Times New Roman" w:hAnsi="Times New Roman" w:cs="Times New Roman"/>
          <w:sz w:val="28"/>
          <w:szCs w:val="28"/>
        </w:rPr>
        <w:t xml:space="preserve">ую роль здесь играет тема </w:t>
      </w:r>
      <w:r w:rsidR="00367F8F" w:rsidRPr="004804E5">
        <w:rPr>
          <w:rFonts w:ascii="Times New Roman" w:hAnsi="Times New Roman" w:cs="Times New Roman"/>
          <w:sz w:val="28"/>
          <w:szCs w:val="28"/>
        </w:rPr>
        <w:t xml:space="preserve"> апокалипсиса. </w:t>
      </w:r>
      <w:r w:rsidR="002E3743" w:rsidRPr="004804E5">
        <w:rPr>
          <w:rFonts w:ascii="Times New Roman" w:hAnsi="Times New Roman" w:cs="Times New Roman"/>
          <w:sz w:val="28"/>
          <w:szCs w:val="28"/>
        </w:rPr>
        <w:t>С чем это может быть связано?</w:t>
      </w:r>
      <w:r w:rsidR="00375BA0">
        <w:rPr>
          <w:rFonts w:ascii="Times New Roman" w:hAnsi="Times New Roman" w:cs="Times New Roman"/>
          <w:sz w:val="28"/>
          <w:szCs w:val="28"/>
        </w:rPr>
        <w:t xml:space="preserve"> Где истоки данного жанра </w:t>
      </w:r>
      <w:r w:rsidR="00375BA0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литературы и чем она так интересна читателю, что существует более двух тысяч лет? </w:t>
      </w:r>
      <w:r w:rsidR="002E3743" w:rsidRPr="004804E5">
        <w:rPr>
          <w:rFonts w:ascii="Times New Roman" w:hAnsi="Times New Roman" w:cs="Times New Roman"/>
          <w:sz w:val="28"/>
          <w:szCs w:val="28"/>
        </w:rPr>
        <w:t xml:space="preserve"> </w:t>
      </w:r>
      <w:r w:rsidR="002E3743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Апокалиптическая литература — это особый жанр светской литературы, авторы которого в виде своеобразного пророчества или утопического сценария будущего раскрывают перед читателем завесу будущих судеб мира и </w:t>
      </w:r>
      <w:r w:rsidR="000A1EAE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</w:t>
      </w:r>
      <w:r w:rsidR="002E3743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народа. </w:t>
      </w:r>
    </w:p>
    <w:p w:rsidR="002E3743" w:rsidRPr="004804E5" w:rsidRDefault="002E3743" w:rsidP="00F36296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Возникло это направление в период становления христианства</w:t>
      </w:r>
      <w:r w:rsidR="002654DA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, примерно две тысячи лет назад</w:t>
      </w:r>
      <w:r w:rsidR="00977515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, когда</w:t>
      </w:r>
      <w:r w:rsidR="002654DA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написано «</w:t>
      </w:r>
      <w:r w:rsidR="002B4001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654DA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ткровение св. апостола Иоанна Богослова»</w:t>
      </w:r>
      <w:r w:rsidR="00977515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Именно это произведение вкратце обычно именуют «Апокалипсис», т.е. «Откровение» (греч). История </w:t>
      </w:r>
      <w:r w:rsidR="002B4001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такова, что на протяжении всех этих лет вокруг него не утихают страсти, постоянно вспыхивают ссоры, этот текст постоянно комментируют, фрагменты из него используют в различных произведениях – узкоспециальных и популярных, с его помощью обличали еретиков, на него ссылались и ссылаются в проповедях и молитвах, именно вокруг этого произведения постоянно возникают и рушатся новые гипотезы. </w:t>
      </w:r>
    </w:p>
    <w:p w:rsidR="00BA4352" w:rsidRPr="004804E5" w:rsidRDefault="0070229E" w:rsidP="00F36296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 точно это направление проявило себя в литературе </w:t>
      </w:r>
      <w:proofErr w:type="gramStart"/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="00184747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и любой литературный жанр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обладает своими характеристиками.</w:t>
      </w:r>
    </w:p>
    <w:p w:rsidR="00E75F37" w:rsidRPr="00E75F37" w:rsidRDefault="002E3743" w:rsidP="00F36296">
      <w:pPr>
        <w:shd w:val="clear" w:color="auto" w:fill="FFFFFF"/>
        <w:spacing w:line="30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r w:rsidR="000A1EAE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литературы </w:t>
      </w:r>
      <w:r w:rsidR="00BA4352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этого жанра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свойственен крайний нигилизм - отрицание старого, прежних устоев жизни, отсюда ее жажда новой формы религиозного сознания, новой религии и крайний утопизм, - вера в возможность всеобщего спасения и преображения, в осуществление Царствия небесного на земле, а также вера в особое предназначение</w:t>
      </w:r>
      <w:r w:rsidR="00BA4352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эти черты нашли свое отражение в </w:t>
      </w:r>
      <w:r w:rsidR="00BA4352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мировой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литературе и религиозно-философской мысли Х1Х-ХХ веков.</w:t>
      </w:r>
      <w:r w:rsidR="006126B4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4FE5" w:rsidRPr="004804E5" w:rsidRDefault="00484FE5" w:rsidP="004804E5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4E5">
        <w:rPr>
          <w:rFonts w:ascii="Times New Roman" w:hAnsi="Times New Roman" w:cs="Times New Roman"/>
          <w:sz w:val="28"/>
          <w:szCs w:val="28"/>
        </w:rPr>
        <w:t xml:space="preserve">О чем в принципе идет речь в «Откровениях св. Иоанна Богослова», что </w:t>
      </w:r>
      <w:r w:rsidR="007E1DFD">
        <w:rPr>
          <w:rFonts w:ascii="Times New Roman" w:hAnsi="Times New Roman" w:cs="Times New Roman"/>
          <w:sz w:val="28"/>
          <w:szCs w:val="28"/>
        </w:rPr>
        <w:t xml:space="preserve">они </w:t>
      </w:r>
      <w:r w:rsidRPr="004804E5">
        <w:rPr>
          <w:rFonts w:ascii="Times New Roman" w:hAnsi="Times New Roman" w:cs="Times New Roman"/>
          <w:sz w:val="28"/>
          <w:szCs w:val="28"/>
        </w:rPr>
        <w:t>до сих пор будоражат общественное сознание и влияю</w:t>
      </w:r>
      <w:r w:rsidR="009764F7" w:rsidRPr="004804E5">
        <w:rPr>
          <w:rFonts w:ascii="Times New Roman" w:hAnsi="Times New Roman" w:cs="Times New Roman"/>
          <w:sz w:val="28"/>
          <w:szCs w:val="28"/>
        </w:rPr>
        <w:t>т на культурное развитие</w:t>
      </w:r>
      <w:r w:rsidR="004804E5">
        <w:rPr>
          <w:rFonts w:ascii="Times New Roman" w:hAnsi="Times New Roman" w:cs="Times New Roman"/>
          <w:sz w:val="28"/>
          <w:szCs w:val="28"/>
        </w:rPr>
        <w:t xml:space="preserve"> человечества</w:t>
      </w:r>
      <w:r w:rsidR="009764F7" w:rsidRPr="004804E5">
        <w:rPr>
          <w:rFonts w:ascii="Times New Roman" w:hAnsi="Times New Roman" w:cs="Times New Roman"/>
          <w:sz w:val="28"/>
          <w:szCs w:val="28"/>
        </w:rPr>
        <w:t>?</w:t>
      </w:r>
      <w:r w:rsidR="007E1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4E5" w:rsidRPr="004804E5" w:rsidRDefault="004804E5" w:rsidP="004804E5">
      <w:pPr>
        <w:pStyle w:val="a3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4804E5">
        <w:rPr>
          <w:sz w:val="28"/>
          <w:szCs w:val="28"/>
        </w:rPr>
        <w:t xml:space="preserve">Бог дал откровение Христу, чтобы показать людям близкое грядущее. Христос послал ангела передать откровение Иоанну, который находился на о-ве Патмос (в Эгейском море, у берегов Малой Азии), попав туда за слово Божие, и услышал трубный глас: запиши увиденное и сообщи церквам в Эфесе, Смирне, Пергаме, </w:t>
      </w:r>
      <w:proofErr w:type="spellStart"/>
      <w:r w:rsidRPr="004804E5">
        <w:rPr>
          <w:sz w:val="28"/>
          <w:szCs w:val="28"/>
        </w:rPr>
        <w:t>Тиатире</w:t>
      </w:r>
      <w:proofErr w:type="spellEnd"/>
      <w:r w:rsidRPr="004804E5">
        <w:rPr>
          <w:sz w:val="28"/>
          <w:szCs w:val="28"/>
        </w:rPr>
        <w:t xml:space="preserve">, Сардах, Филадельфии и </w:t>
      </w:r>
      <w:proofErr w:type="spellStart"/>
      <w:r w:rsidRPr="004804E5">
        <w:rPr>
          <w:sz w:val="28"/>
          <w:szCs w:val="28"/>
        </w:rPr>
        <w:t>Лаодикее</w:t>
      </w:r>
      <w:proofErr w:type="spellEnd"/>
      <w:r w:rsidRPr="004804E5">
        <w:rPr>
          <w:sz w:val="28"/>
          <w:szCs w:val="28"/>
        </w:rPr>
        <w:t xml:space="preserve">. Последовали видения: Сын Человеческий на небе с 7 звездами в руке; небесный престол и вокруг лев, телец, человек и орел; [16] у Сидящего на престоле книга с 7 печатями. Агнец снимает 4 печати и появляются всадники победы, раздоров, меры и смерти; за снятием 5-й печати воззвали убиенные за веру, после 6-й началось землетрясение, «пришел день гнева Его». Ангелы удерживают дуновение </w:t>
      </w:r>
      <w:r w:rsidRPr="004804E5">
        <w:rPr>
          <w:sz w:val="28"/>
          <w:szCs w:val="28"/>
        </w:rPr>
        <w:lastRenderedPageBreak/>
        <w:t>вредоносных ветров, пока не будут запечатлены по 12 тыс. праведников от каждого из 12 колен Израилевых (гл. I-VII).</w:t>
      </w:r>
    </w:p>
    <w:p w:rsidR="004804E5" w:rsidRPr="004804E5" w:rsidRDefault="004804E5" w:rsidP="004804E5">
      <w:pPr>
        <w:pStyle w:val="a3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4804E5">
        <w:rPr>
          <w:sz w:val="28"/>
          <w:szCs w:val="28"/>
        </w:rPr>
        <w:t>За снятием 7-й печати происходят затмение на небе и всяческие несчастья на Земле, появляется зверь из бездны. Небесные голоса возвещают, что мир стал «царством Господа нашего и Христа Его, и будет царствовать во веки веков», наступило время судить мертвых. На небе видна беременная; 10-рогий и 7-главый дракон хочет съесть новорожденного, который должен «пасти все народы»; архистратиг Михаил низвергает дракона. Из моря выходит 10-рогий и 7-главый зверь, из земли — 2-рогий зверь, заставляющий людей признать власть 10-рогого, число которого 666 (гл. VIII-XIII).</w:t>
      </w:r>
    </w:p>
    <w:p w:rsidR="004804E5" w:rsidRPr="004804E5" w:rsidRDefault="004804E5" w:rsidP="004804E5">
      <w:pPr>
        <w:pStyle w:val="a3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4804E5">
        <w:rPr>
          <w:sz w:val="28"/>
          <w:szCs w:val="28"/>
        </w:rPr>
        <w:t xml:space="preserve">Агнец и 144 тыс. запечатленных внимают небесному пению на горе Сион, ангелы возвещают волю Божию, грешники истекают кровью. Песнь Моисея и песнь Агнца: «Чудны дела твои, Господи», ангелы изливают чаши гнева Божьего. Бесы собирают силы воевать с Богом в местности Армагеддон, происходит страшное землетрясение. Видна блудница-Вавилон верхом на 10-рогом и 7-главом звере, который «был, и нет его, и выйдет из бездны, и пойдет в погибель». Ангел поясняет: 7 голов это 7 царей, из них «5 пали, один есть, а другой еще не пришел, и когда придет, </w:t>
      </w:r>
      <w:proofErr w:type="gramStart"/>
      <w:r w:rsidRPr="004804E5">
        <w:rPr>
          <w:sz w:val="28"/>
          <w:szCs w:val="28"/>
        </w:rPr>
        <w:t>не долго ему</w:t>
      </w:r>
      <w:proofErr w:type="gramEnd"/>
      <w:r w:rsidRPr="004804E5">
        <w:rPr>
          <w:sz w:val="28"/>
          <w:szCs w:val="28"/>
        </w:rPr>
        <w:t xml:space="preserve"> быть», а зверь это восьмой царь, он погибнет, блудница же есть великий город, царствующий над всеми (гл. XIV-XVII).</w:t>
      </w:r>
    </w:p>
    <w:p w:rsidR="004804E5" w:rsidRPr="004804E5" w:rsidRDefault="004804E5" w:rsidP="004804E5">
      <w:pPr>
        <w:pStyle w:val="a3"/>
        <w:spacing w:before="0" w:beforeAutospacing="0" w:after="0" w:afterAutospacing="0" w:line="300" w:lineRule="auto"/>
        <w:ind w:firstLine="708"/>
        <w:jc w:val="both"/>
        <w:rPr>
          <w:sz w:val="28"/>
          <w:szCs w:val="28"/>
        </w:rPr>
      </w:pPr>
      <w:r w:rsidRPr="004804E5">
        <w:rPr>
          <w:sz w:val="28"/>
          <w:szCs w:val="28"/>
        </w:rPr>
        <w:t xml:space="preserve">Звучат небесные голоса, виден небесный всадник по имени «Слово Божие». Войско зверя побеждено, дракон закован в цепь на 1 тыс. лет, низвергнут в бездну и опечатан, а не поклонившиеся ему воскресли из мертвых на 1 тыс. лет. Затем временно освобожденный Сатана призовет </w:t>
      </w:r>
      <w:proofErr w:type="spellStart"/>
      <w:r w:rsidRPr="004804E5">
        <w:rPr>
          <w:sz w:val="28"/>
          <w:szCs w:val="28"/>
        </w:rPr>
        <w:t>Гога</w:t>
      </w:r>
      <w:proofErr w:type="spellEnd"/>
      <w:r w:rsidRPr="004804E5">
        <w:rPr>
          <w:sz w:val="28"/>
          <w:szCs w:val="28"/>
        </w:rPr>
        <w:t xml:space="preserve"> и </w:t>
      </w:r>
      <w:proofErr w:type="spellStart"/>
      <w:r w:rsidRPr="004804E5">
        <w:rPr>
          <w:sz w:val="28"/>
          <w:szCs w:val="28"/>
        </w:rPr>
        <w:t>Магога</w:t>
      </w:r>
      <w:proofErr w:type="spellEnd"/>
      <w:r w:rsidRPr="004804E5">
        <w:rPr>
          <w:sz w:val="28"/>
          <w:szCs w:val="28"/>
        </w:rPr>
        <w:t xml:space="preserve"> и опять двинется на битву, вновь будет побежден и обречен на вечные мученья. Бог судит мертвых по Книге жизни, грешники вторично умирают, появляются новые небо, Земля, а также невеста Агнца — чудесно изукрашенный небесный Иерусалим; праведники, записанные в Книгу жизни, будут вечно под Богом. Прошлое ушло навсегда, начинается общее блаженство. Ангел приказывает Иоанну не запечатывать написанное, ибо время близко. «Я Иисус ...</w:t>
      </w:r>
      <w:proofErr w:type="spellStart"/>
      <w:r w:rsidRPr="004804E5">
        <w:rPr>
          <w:sz w:val="28"/>
          <w:szCs w:val="28"/>
        </w:rPr>
        <w:t>есмь</w:t>
      </w:r>
      <w:proofErr w:type="spellEnd"/>
      <w:r w:rsidRPr="004804E5">
        <w:rPr>
          <w:sz w:val="28"/>
          <w:szCs w:val="28"/>
        </w:rPr>
        <w:t xml:space="preserve"> корень и потомок Давида, звезда светлая и утренняя» (гл. XVIII-XXII).</w:t>
      </w:r>
    </w:p>
    <w:p w:rsidR="009764F7" w:rsidRDefault="009B46E9" w:rsidP="004804E5">
      <w:pPr>
        <w:spacing w:line="30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Вокруг «Откровения» доныне не утихают научные и околонаучные споры. Существует свыше 80 его толкований. </w:t>
      </w:r>
      <w:r w:rsidR="00A17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Ученые разделились во мнениях, кто автор произведения, какие исторические события были предсказаны: автор строит свои «Откровения», используя уже существующие </w:t>
      </w:r>
      <w:r w:rsidR="00B96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про </w:t>
      </w:r>
      <w:r w:rsidR="00B96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различные катастрофы, описанные у разных народов, в том числе и в Ветхом Завете</w:t>
      </w:r>
      <w:r w:rsidR="005E3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каково толкование Символов, использованных в произведении. </w:t>
      </w:r>
    </w:p>
    <w:p w:rsidR="00B11CE3" w:rsidRDefault="00A84B89" w:rsidP="004804E5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Тех, кто трактовал начиная со средних веков в различных формах и для различных целей призывы апокалипсиса, - великое множество, н</w:t>
      </w:r>
      <w:r w:rsidR="005E3E74" w:rsidRPr="005E3E74">
        <w:rPr>
          <w:rFonts w:ascii="Times New Roman" w:hAnsi="Times New Roman" w:cs="Times New Roman"/>
          <w:sz w:val="28"/>
          <w:szCs w:val="28"/>
        </w:rPr>
        <w:t xml:space="preserve">евозможно перечислить </w:t>
      </w:r>
      <w:r w:rsidR="001E365A">
        <w:rPr>
          <w:rFonts w:ascii="Times New Roman" w:hAnsi="Times New Roman" w:cs="Times New Roman"/>
          <w:sz w:val="28"/>
          <w:szCs w:val="28"/>
        </w:rPr>
        <w:t xml:space="preserve">их </w:t>
      </w:r>
      <w:r w:rsidR="005E3E74" w:rsidRPr="005E3E74">
        <w:rPr>
          <w:rFonts w:ascii="Times New Roman" w:hAnsi="Times New Roman" w:cs="Times New Roman"/>
          <w:sz w:val="28"/>
          <w:szCs w:val="28"/>
        </w:rPr>
        <w:t>всех</w:t>
      </w:r>
      <w:r w:rsidR="001E365A">
        <w:rPr>
          <w:rFonts w:ascii="Times New Roman" w:hAnsi="Times New Roman" w:cs="Times New Roman"/>
          <w:sz w:val="28"/>
          <w:szCs w:val="28"/>
        </w:rPr>
        <w:t>.</w:t>
      </w:r>
      <w:r w:rsidR="005E3E74" w:rsidRPr="005E3E74">
        <w:rPr>
          <w:rFonts w:ascii="Times New Roman" w:hAnsi="Times New Roman" w:cs="Times New Roman"/>
          <w:sz w:val="28"/>
          <w:szCs w:val="28"/>
        </w:rPr>
        <w:t xml:space="preserve"> </w:t>
      </w:r>
      <w:r w:rsidR="001E365A">
        <w:rPr>
          <w:rFonts w:ascii="Times New Roman" w:hAnsi="Times New Roman" w:cs="Times New Roman"/>
          <w:sz w:val="28"/>
          <w:szCs w:val="28"/>
        </w:rPr>
        <w:t xml:space="preserve">Идеи и символы </w:t>
      </w:r>
      <w:r w:rsidR="005E3E74" w:rsidRPr="005E3E74">
        <w:rPr>
          <w:rFonts w:ascii="Times New Roman" w:hAnsi="Times New Roman" w:cs="Times New Roman"/>
          <w:sz w:val="28"/>
          <w:szCs w:val="28"/>
        </w:rPr>
        <w:t xml:space="preserve"> Тысячелетнего царства, Страшного суда, борьбы с Антихристом, второго пришествия</w:t>
      </w:r>
      <w:r w:rsidR="001E365A">
        <w:rPr>
          <w:rFonts w:ascii="Times New Roman" w:hAnsi="Times New Roman" w:cs="Times New Roman"/>
          <w:sz w:val="28"/>
          <w:szCs w:val="28"/>
        </w:rPr>
        <w:t xml:space="preserve"> варьировались бесчисленное количество раз</w:t>
      </w:r>
      <w:r w:rsidR="005E3E74" w:rsidRPr="005E3E74">
        <w:rPr>
          <w:rFonts w:ascii="Times New Roman" w:hAnsi="Times New Roman" w:cs="Times New Roman"/>
          <w:sz w:val="28"/>
          <w:szCs w:val="28"/>
        </w:rPr>
        <w:t>. 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Мысль о грядущем конце света </w:t>
      </w:r>
      <w:r w:rsidR="001E365A">
        <w:rPr>
          <w:rFonts w:ascii="Times New Roman" w:hAnsi="Times New Roman" w:cs="Times New Roman"/>
          <w:sz w:val="28"/>
          <w:szCs w:val="28"/>
        </w:rPr>
        <w:t xml:space="preserve">постоянно </w:t>
      </w:r>
      <w:r w:rsidR="008C74AC" w:rsidRPr="008C74AC">
        <w:rPr>
          <w:rFonts w:ascii="Times New Roman" w:hAnsi="Times New Roman" w:cs="Times New Roman"/>
          <w:sz w:val="28"/>
          <w:szCs w:val="28"/>
        </w:rPr>
        <w:t>тревожила</w:t>
      </w:r>
      <w:r w:rsidR="001E365A">
        <w:rPr>
          <w:rFonts w:ascii="Times New Roman" w:hAnsi="Times New Roman" w:cs="Times New Roman"/>
          <w:sz w:val="28"/>
          <w:szCs w:val="28"/>
        </w:rPr>
        <w:t xml:space="preserve"> и тревожит до сих пор человечество. Существует масса вероучений, </w:t>
      </w:r>
      <w:r w:rsidR="00B11CE3">
        <w:rPr>
          <w:rFonts w:ascii="Times New Roman" w:hAnsi="Times New Roman" w:cs="Times New Roman"/>
          <w:sz w:val="28"/>
          <w:szCs w:val="28"/>
        </w:rPr>
        <w:t>связанных именно с ожиданием конца света.</w:t>
      </w:r>
    </w:p>
    <w:p w:rsidR="008C74AC" w:rsidRDefault="00B11CE3" w:rsidP="004804E5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8C74AC">
        <w:rPr>
          <w:rFonts w:ascii="Times New Roman" w:hAnsi="Times New Roman" w:cs="Times New Roman"/>
          <w:sz w:val="28"/>
          <w:szCs w:val="28"/>
        </w:rPr>
        <w:t xml:space="preserve">женевский реформатор Ж. Кальвин развивал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е после 1541 г. в рамках своего вероучения. Шведский геолог, математик и астроном Э. Сведенборг, отошедший под конец жизни от прямой науки в сторону теософии и </w:t>
      </w:r>
      <w:proofErr w:type="spellStart"/>
      <w:r w:rsidR="008C74AC" w:rsidRPr="008C74AC">
        <w:rPr>
          <w:rFonts w:ascii="Times New Roman" w:hAnsi="Times New Roman" w:cs="Times New Roman"/>
          <w:sz w:val="28"/>
          <w:szCs w:val="28"/>
        </w:rPr>
        <w:t>духовидения</w:t>
      </w:r>
      <w:proofErr w:type="spellEnd"/>
      <w:r w:rsidR="008C74AC" w:rsidRPr="008C74AC">
        <w:rPr>
          <w:rFonts w:ascii="Times New Roman" w:hAnsi="Times New Roman" w:cs="Times New Roman"/>
          <w:sz w:val="28"/>
          <w:szCs w:val="28"/>
        </w:rPr>
        <w:t xml:space="preserve">, в своем </w:t>
      </w:r>
      <w:proofErr w:type="spellStart"/>
      <w:r w:rsidR="008C74AC" w:rsidRPr="008C74AC">
        <w:rPr>
          <w:rFonts w:ascii="Times New Roman" w:hAnsi="Times New Roman" w:cs="Times New Roman"/>
          <w:sz w:val="28"/>
          <w:szCs w:val="28"/>
        </w:rPr>
        <w:t>восьмитомном</w:t>
      </w:r>
      <w:proofErr w:type="spellEnd"/>
      <w:r w:rsidR="008C74AC" w:rsidRPr="008C74AC">
        <w:rPr>
          <w:rFonts w:ascii="Times New Roman" w:hAnsi="Times New Roman" w:cs="Times New Roman"/>
          <w:sz w:val="28"/>
          <w:szCs w:val="28"/>
        </w:rPr>
        <w:t xml:space="preserve"> сочинении «Небесные тайны», завершенном в 1756 г., дал собственное толкование Библии, включая «Откровение Иоанна». Он заявил в вышедшей в 1758 г. книге «О Последнем суде и разрушенном Вавилоне», что в 1757 г. уже наступил конец свет</w:t>
      </w:r>
      <w:r w:rsidR="008C74AC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5E3E74" w:rsidRDefault="00B11CE3" w:rsidP="004804E5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довольно ч</w:t>
      </w:r>
      <w:r w:rsidR="008C74AC" w:rsidRPr="008C74AC">
        <w:rPr>
          <w:rFonts w:ascii="Times New Roman" w:hAnsi="Times New Roman" w:cs="Times New Roman"/>
          <w:sz w:val="28"/>
          <w:szCs w:val="28"/>
        </w:rPr>
        <w:t>астым явлением был перенос какой-либо фигуры из «Откровения» на конкретное историческое лицо с развернутой пропагандой против него.</w:t>
      </w:r>
      <w:r>
        <w:rPr>
          <w:rFonts w:ascii="Times New Roman" w:hAnsi="Times New Roman" w:cs="Times New Roman"/>
          <w:sz w:val="28"/>
          <w:szCs w:val="28"/>
        </w:rPr>
        <w:t xml:space="preserve"> Самым ярким </w:t>
      </w:r>
      <w:r w:rsidR="00C07A4D">
        <w:rPr>
          <w:rFonts w:ascii="Times New Roman" w:hAnsi="Times New Roman" w:cs="Times New Roman"/>
          <w:sz w:val="28"/>
          <w:szCs w:val="28"/>
        </w:rPr>
        <w:t xml:space="preserve">примером является </w:t>
      </w:r>
      <w:r w:rsidRPr="008C74AC">
        <w:rPr>
          <w:rFonts w:ascii="Times New Roman" w:hAnsi="Times New Roman" w:cs="Times New Roman"/>
          <w:sz w:val="28"/>
          <w:szCs w:val="28"/>
        </w:rPr>
        <w:t>апокалиптическая фигура Антихриста</w:t>
      </w:r>
      <w:r w:rsidR="00C07A4D">
        <w:rPr>
          <w:rFonts w:ascii="Times New Roman" w:hAnsi="Times New Roman" w:cs="Times New Roman"/>
          <w:sz w:val="28"/>
          <w:szCs w:val="28"/>
        </w:rPr>
        <w:t>, которая</w:t>
      </w:r>
      <w:r w:rsidRPr="008C74AC">
        <w:rPr>
          <w:rFonts w:ascii="Times New Roman" w:hAnsi="Times New Roman" w:cs="Times New Roman"/>
          <w:sz w:val="28"/>
          <w:szCs w:val="28"/>
        </w:rPr>
        <w:t xml:space="preserve"> </w:t>
      </w:r>
      <w:r w:rsidR="00C07A4D" w:rsidRPr="008C74AC">
        <w:rPr>
          <w:rFonts w:ascii="Times New Roman" w:hAnsi="Times New Roman" w:cs="Times New Roman"/>
          <w:sz w:val="28"/>
          <w:szCs w:val="28"/>
        </w:rPr>
        <w:t>многократно применялась</w:t>
      </w:r>
      <w:r w:rsidR="00C07A4D">
        <w:rPr>
          <w:rFonts w:ascii="Times New Roman" w:hAnsi="Times New Roman" w:cs="Times New Roman"/>
          <w:sz w:val="28"/>
          <w:szCs w:val="28"/>
        </w:rPr>
        <w:t xml:space="preserve"> в</w:t>
      </w:r>
      <w:r w:rsidR="00C07A4D" w:rsidRPr="008C74AC">
        <w:rPr>
          <w:rFonts w:ascii="Times New Roman" w:hAnsi="Times New Roman" w:cs="Times New Roman"/>
          <w:sz w:val="28"/>
          <w:szCs w:val="28"/>
        </w:rPr>
        <w:t xml:space="preserve"> 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этих целях, </w:t>
      </w:r>
      <w:r w:rsidR="00C07A4D">
        <w:rPr>
          <w:rFonts w:ascii="Times New Roman" w:hAnsi="Times New Roman" w:cs="Times New Roman"/>
          <w:sz w:val="28"/>
          <w:szCs w:val="28"/>
        </w:rPr>
        <w:t xml:space="preserve">и 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чей образ прилепляли к политическим противникам. </w:t>
      </w:r>
      <w:r w:rsidR="00C07A4D">
        <w:rPr>
          <w:rFonts w:ascii="Times New Roman" w:hAnsi="Times New Roman" w:cs="Times New Roman"/>
          <w:sz w:val="28"/>
          <w:szCs w:val="28"/>
        </w:rPr>
        <w:t xml:space="preserve">К примеру, 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Папа римский Григорий IX после 1226 г. объявил Антихристом своего злейшего врага, императора Фридриха II </w:t>
      </w:r>
      <w:proofErr w:type="spellStart"/>
      <w:r w:rsidR="008C74AC" w:rsidRPr="008C74AC">
        <w:rPr>
          <w:rFonts w:ascii="Times New Roman" w:hAnsi="Times New Roman" w:cs="Times New Roman"/>
          <w:sz w:val="28"/>
          <w:szCs w:val="28"/>
        </w:rPr>
        <w:t>Гогенштауфена</w:t>
      </w:r>
      <w:proofErr w:type="spellEnd"/>
      <w:r w:rsidR="008C74AC" w:rsidRPr="008C74AC">
        <w:rPr>
          <w:rFonts w:ascii="Times New Roman" w:hAnsi="Times New Roman" w:cs="Times New Roman"/>
          <w:sz w:val="28"/>
          <w:szCs w:val="28"/>
        </w:rPr>
        <w:t xml:space="preserve">. </w:t>
      </w:r>
      <w:r w:rsidR="00C07A4D">
        <w:rPr>
          <w:rFonts w:ascii="Times New Roman" w:hAnsi="Times New Roman" w:cs="Times New Roman"/>
          <w:sz w:val="28"/>
          <w:szCs w:val="28"/>
        </w:rPr>
        <w:t>Для л</w:t>
      </w:r>
      <w:r w:rsidR="008C74AC" w:rsidRPr="008C74AC">
        <w:rPr>
          <w:rFonts w:ascii="Times New Roman" w:hAnsi="Times New Roman" w:cs="Times New Roman"/>
          <w:sz w:val="28"/>
          <w:szCs w:val="28"/>
        </w:rPr>
        <w:t>идер</w:t>
      </w:r>
      <w:r w:rsidR="00C07A4D">
        <w:rPr>
          <w:rFonts w:ascii="Times New Roman" w:hAnsi="Times New Roman" w:cs="Times New Roman"/>
          <w:sz w:val="28"/>
          <w:szCs w:val="28"/>
        </w:rPr>
        <w:t>а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 немецкой Реформации М. Лютер</w:t>
      </w:r>
      <w:r w:rsidR="00C07A4D">
        <w:rPr>
          <w:rFonts w:ascii="Times New Roman" w:hAnsi="Times New Roman" w:cs="Times New Roman"/>
          <w:sz w:val="28"/>
          <w:szCs w:val="28"/>
        </w:rPr>
        <w:t xml:space="preserve">а 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 антихристами</w:t>
      </w:r>
      <w:r w:rsidR="00C07A4D">
        <w:rPr>
          <w:rFonts w:ascii="Times New Roman" w:hAnsi="Times New Roman" w:cs="Times New Roman"/>
          <w:sz w:val="28"/>
          <w:szCs w:val="28"/>
        </w:rPr>
        <w:t xml:space="preserve"> были 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 все римски</w:t>
      </w:r>
      <w:r w:rsidR="00C07A4D">
        <w:rPr>
          <w:rFonts w:ascii="Times New Roman" w:hAnsi="Times New Roman" w:cs="Times New Roman"/>
          <w:sz w:val="28"/>
          <w:szCs w:val="28"/>
        </w:rPr>
        <w:t>е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 пап</w:t>
      </w:r>
      <w:r w:rsidR="00C07A4D">
        <w:rPr>
          <w:rFonts w:ascii="Times New Roman" w:hAnsi="Times New Roman" w:cs="Times New Roman"/>
          <w:sz w:val="28"/>
          <w:szCs w:val="28"/>
        </w:rPr>
        <w:t>ы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. Английские протестанты называли так короля Карла I Стюарта. </w:t>
      </w:r>
      <w:r w:rsidR="00C07A4D">
        <w:rPr>
          <w:rFonts w:ascii="Times New Roman" w:hAnsi="Times New Roman" w:cs="Times New Roman"/>
          <w:sz w:val="28"/>
          <w:szCs w:val="28"/>
        </w:rPr>
        <w:t>У</w:t>
      </w:r>
      <w:r w:rsidR="00C07A4D" w:rsidRPr="008C74AC">
        <w:rPr>
          <w:rFonts w:ascii="Times New Roman" w:hAnsi="Times New Roman" w:cs="Times New Roman"/>
          <w:sz w:val="28"/>
          <w:szCs w:val="28"/>
        </w:rPr>
        <w:t xml:space="preserve"> российских старообрядцев </w:t>
      </w:r>
      <w:r w:rsidR="00C07A4D">
        <w:rPr>
          <w:rFonts w:ascii="Times New Roman" w:hAnsi="Times New Roman" w:cs="Times New Roman"/>
          <w:sz w:val="28"/>
          <w:szCs w:val="28"/>
        </w:rPr>
        <w:t>к</w:t>
      </w:r>
      <w:r w:rsidR="008C74AC" w:rsidRPr="008C74AC">
        <w:rPr>
          <w:rFonts w:ascii="Times New Roman" w:hAnsi="Times New Roman" w:cs="Times New Roman"/>
          <w:sz w:val="28"/>
          <w:szCs w:val="28"/>
        </w:rPr>
        <w:t xml:space="preserve">ак Антихрист проходил организатор церковной реформы патриарх Никон, а впоследствии — царь </w:t>
      </w:r>
      <w:proofErr w:type="spellStart"/>
      <w:r w:rsidR="008C74AC" w:rsidRPr="008C74AC">
        <w:rPr>
          <w:rFonts w:ascii="Times New Roman" w:hAnsi="Times New Roman" w:cs="Times New Roman"/>
          <w:sz w:val="28"/>
          <w:szCs w:val="28"/>
        </w:rPr>
        <w:t>ПетрI</w:t>
      </w:r>
      <w:proofErr w:type="spellEnd"/>
      <w:r w:rsidR="008C74AC" w:rsidRPr="008C74AC">
        <w:rPr>
          <w:rFonts w:ascii="Times New Roman" w:hAnsi="Times New Roman" w:cs="Times New Roman"/>
          <w:sz w:val="28"/>
          <w:szCs w:val="28"/>
        </w:rPr>
        <w:t>. В 1812 г. широкие массы русских людей внимали проповедям об Антихристе-Наполеоне.</w:t>
      </w:r>
    </w:p>
    <w:p w:rsidR="005A097F" w:rsidRDefault="005A097F" w:rsidP="005A097F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97F">
        <w:rPr>
          <w:rFonts w:ascii="Times New Roman" w:hAnsi="Times New Roman" w:cs="Times New Roman"/>
          <w:sz w:val="28"/>
          <w:szCs w:val="28"/>
        </w:rPr>
        <w:t xml:space="preserve">В художественной </w:t>
      </w:r>
      <w:r w:rsidR="00AA5377" w:rsidRPr="005A097F">
        <w:rPr>
          <w:rFonts w:ascii="Times New Roman" w:hAnsi="Times New Roman" w:cs="Times New Roman"/>
          <w:sz w:val="28"/>
          <w:szCs w:val="28"/>
        </w:rPr>
        <w:t xml:space="preserve">литературе </w:t>
      </w:r>
      <w:r w:rsidR="00AA5377">
        <w:rPr>
          <w:rFonts w:ascii="Times New Roman" w:hAnsi="Times New Roman" w:cs="Times New Roman"/>
          <w:sz w:val="28"/>
          <w:szCs w:val="28"/>
        </w:rPr>
        <w:t>тоже</w:t>
      </w:r>
      <w:r w:rsidR="00F04109">
        <w:rPr>
          <w:rFonts w:ascii="Times New Roman" w:hAnsi="Times New Roman" w:cs="Times New Roman"/>
          <w:sz w:val="28"/>
          <w:szCs w:val="28"/>
        </w:rPr>
        <w:t xml:space="preserve"> можем обнаружить </w:t>
      </w:r>
      <w:r w:rsidRPr="005A097F">
        <w:rPr>
          <w:rFonts w:ascii="Times New Roman" w:hAnsi="Times New Roman" w:cs="Times New Roman"/>
          <w:sz w:val="28"/>
          <w:szCs w:val="28"/>
        </w:rPr>
        <w:t>пример</w:t>
      </w:r>
      <w:r w:rsidR="00F04109">
        <w:rPr>
          <w:rFonts w:ascii="Times New Roman" w:hAnsi="Times New Roman" w:cs="Times New Roman"/>
          <w:sz w:val="28"/>
          <w:szCs w:val="28"/>
        </w:rPr>
        <w:t xml:space="preserve">ы </w:t>
      </w:r>
      <w:r w:rsidRPr="005A097F">
        <w:rPr>
          <w:rFonts w:ascii="Times New Roman" w:hAnsi="Times New Roman" w:cs="Times New Roman"/>
          <w:sz w:val="28"/>
          <w:szCs w:val="28"/>
        </w:rPr>
        <w:t xml:space="preserve">обращения к Апокалипсису. Среди ранних писателей, открывающих длинный ряд таких авторов, выделяется Данте (1265—1321) с его величественной поэмой «Божественная комедия». Затем периодически появлялись произведения, в которых сугубо личностное восприятие «Откровения Иоанна» преломлялось через общественные отношения конкретной исторической эпохи. Во многих произведениях освещается отражение евангелической тематики в </w:t>
      </w:r>
      <w:r w:rsidRPr="005A097F">
        <w:rPr>
          <w:rFonts w:ascii="Times New Roman" w:hAnsi="Times New Roman" w:cs="Times New Roman"/>
          <w:sz w:val="28"/>
          <w:szCs w:val="28"/>
        </w:rPr>
        <w:lastRenderedPageBreak/>
        <w:t>целом или апокалиптической, в частности; это характерно для творчества ряда писателей, например, Ф. М. Достоевского.</w:t>
      </w:r>
    </w:p>
    <w:p w:rsidR="00810BF2" w:rsidRPr="004804E5" w:rsidRDefault="00810BF2" w:rsidP="00810BF2">
      <w:pPr>
        <w:spacing w:line="30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 ярко тема апокалипсиса, тема катастрофы проявилась в ХХ веке. Весь 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ХХ век вошел в историю культуры как век эксперимента, век постмодернизма. 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 XX века – две мировые войны, ядерная угроза,</w:t>
      </w:r>
      <w:r w:rsidRPr="00480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техногенные аварии и множество</w:t>
      </w:r>
      <w:r w:rsidRPr="00480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глобальных проблем – словно «подвели</w:t>
      </w:r>
      <w:r w:rsidRPr="00480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черту» идеям о конечности</w:t>
      </w:r>
      <w:r w:rsidRPr="00480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 сущего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репрезентируя их на практическом уровне, в</w:t>
      </w:r>
      <w:r w:rsidRPr="00480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F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реальности.</w:t>
      </w:r>
    </w:p>
    <w:p w:rsidR="00681F28" w:rsidRDefault="00AA5377" w:rsidP="00AA537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377">
        <w:rPr>
          <w:rFonts w:ascii="Times New Roman" w:hAnsi="Times New Roman" w:cs="Times New Roman"/>
          <w:sz w:val="28"/>
          <w:szCs w:val="28"/>
        </w:rPr>
        <w:t xml:space="preserve">Для </w:t>
      </w:r>
      <w:r w:rsidR="00681F28">
        <w:rPr>
          <w:rFonts w:ascii="Times New Roman" w:hAnsi="Times New Roman" w:cs="Times New Roman"/>
          <w:sz w:val="28"/>
          <w:szCs w:val="28"/>
        </w:rPr>
        <w:t>литературы Х</w:t>
      </w:r>
      <w:r w:rsidR="00681F2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681F28">
        <w:rPr>
          <w:rFonts w:ascii="Times New Roman" w:hAnsi="Times New Roman" w:cs="Times New Roman"/>
          <w:sz w:val="28"/>
          <w:szCs w:val="28"/>
        </w:rPr>
        <w:t xml:space="preserve"> и ХХ веков</w:t>
      </w:r>
      <w:r w:rsidRPr="00AA5377">
        <w:rPr>
          <w:rFonts w:ascii="Times New Roman" w:hAnsi="Times New Roman" w:cs="Times New Roman"/>
          <w:sz w:val="28"/>
          <w:szCs w:val="28"/>
        </w:rPr>
        <w:t xml:space="preserve"> были присущи следующие апокалиптические темы и мотивы</w:t>
      </w:r>
      <w:r w:rsidR="00AD4AA8">
        <w:rPr>
          <w:rFonts w:ascii="Times New Roman" w:hAnsi="Times New Roman" w:cs="Times New Roman"/>
          <w:sz w:val="28"/>
          <w:szCs w:val="28"/>
        </w:rPr>
        <w:t xml:space="preserve">, причем, описываемые события и философские мотивы в разных странах имели свое значение. Можно перечислить некоторые мотивы, общие для произведений русских и зарубежных (европейских) писателей </w:t>
      </w:r>
      <w:r w:rsidR="00592A02">
        <w:rPr>
          <w:rFonts w:ascii="Times New Roman" w:hAnsi="Times New Roman" w:cs="Times New Roman"/>
          <w:sz w:val="28"/>
          <w:szCs w:val="28"/>
        </w:rPr>
        <w:t>Х</w:t>
      </w:r>
      <w:r w:rsidR="00592A0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592A02">
        <w:rPr>
          <w:rFonts w:ascii="Times New Roman" w:hAnsi="Times New Roman" w:cs="Times New Roman"/>
          <w:sz w:val="28"/>
          <w:szCs w:val="28"/>
        </w:rPr>
        <w:t xml:space="preserve"> и ХХ веков:</w:t>
      </w:r>
    </w:p>
    <w:p w:rsidR="00D921C3" w:rsidRDefault="00AA5377" w:rsidP="00AA537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377">
        <w:rPr>
          <w:rFonts w:ascii="Times New Roman" w:hAnsi="Times New Roman" w:cs="Times New Roman"/>
          <w:sz w:val="28"/>
          <w:szCs w:val="28"/>
        </w:rPr>
        <w:t xml:space="preserve"> во-первых, мотив самозванца, перекликаемый с образом Антихриста, который звучит </w:t>
      </w:r>
      <w:r w:rsidR="00D921C3">
        <w:rPr>
          <w:rFonts w:ascii="Times New Roman" w:hAnsi="Times New Roman" w:cs="Times New Roman"/>
          <w:sz w:val="28"/>
          <w:szCs w:val="28"/>
        </w:rPr>
        <w:t>практически</w:t>
      </w:r>
      <w:r w:rsidRPr="00AA5377">
        <w:rPr>
          <w:rFonts w:ascii="Times New Roman" w:hAnsi="Times New Roman" w:cs="Times New Roman"/>
          <w:sz w:val="28"/>
          <w:szCs w:val="28"/>
        </w:rPr>
        <w:t xml:space="preserve"> во всех произведениях</w:t>
      </w:r>
      <w:r w:rsidR="00D921C3">
        <w:rPr>
          <w:rFonts w:ascii="Times New Roman" w:hAnsi="Times New Roman" w:cs="Times New Roman"/>
          <w:sz w:val="28"/>
          <w:szCs w:val="28"/>
        </w:rPr>
        <w:t xml:space="preserve">, ярким примером могут быть произведения </w:t>
      </w:r>
      <w:r w:rsidRPr="00AA5377">
        <w:rPr>
          <w:rFonts w:ascii="Times New Roman" w:hAnsi="Times New Roman" w:cs="Times New Roman"/>
          <w:sz w:val="28"/>
          <w:szCs w:val="28"/>
        </w:rPr>
        <w:t xml:space="preserve">Н.В. Гоголя, начиная от «Портрета» и заканчивая «Мертвыми душами», в «Трех разговорах» Вл. Соловьева, где он представлен в образе сверхчеловека, который, возомнив себя Христом, пытается осчастливить людей путем установления царства всеобщего равенства и сытости, тем самым получает абсолютную власть над ними; </w:t>
      </w:r>
    </w:p>
    <w:p w:rsidR="00D921C3" w:rsidRDefault="00AA5377" w:rsidP="00AA537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377">
        <w:rPr>
          <w:rFonts w:ascii="Times New Roman" w:hAnsi="Times New Roman" w:cs="Times New Roman"/>
          <w:sz w:val="28"/>
          <w:szCs w:val="28"/>
        </w:rPr>
        <w:t>во-</w:t>
      </w:r>
      <w:r w:rsidR="00592A02" w:rsidRPr="00AA5377">
        <w:rPr>
          <w:rFonts w:ascii="Times New Roman" w:hAnsi="Times New Roman" w:cs="Times New Roman"/>
          <w:sz w:val="28"/>
          <w:szCs w:val="28"/>
        </w:rPr>
        <w:t>вторых, это</w:t>
      </w:r>
      <w:r w:rsidRPr="00AA5377">
        <w:rPr>
          <w:rFonts w:ascii="Times New Roman" w:hAnsi="Times New Roman" w:cs="Times New Roman"/>
          <w:sz w:val="28"/>
          <w:szCs w:val="28"/>
        </w:rPr>
        <w:t xml:space="preserve"> тема духовной и телесной смерти героя как пути к духовному преображению, свойственная для произведений Ф.М. Достоевского и Л.Н. Толстого</w:t>
      </w:r>
      <w:r w:rsidR="00D921C3">
        <w:rPr>
          <w:rFonts w:ascii="Times New Roman" w:hAnsi="Times New Roman" w:cs="Times New Roman"/>
          <w:sz w:val="28"/>
          <w:szCs w:val="28"/>
        </w:rPr>
        <w:t>, в начале ХХ века об этом говорит Ф. Кафка в своем «Превращении»</w:t>
      </w:r>
      <w:r w:rsidRPr="00AA5377">
        <w:rPr>
          <w:rFonts w:ascii="Times New Roman" w:hAnsi="Times New Roman" w:cs="Times New Roman"/>
          <w:sz w:val="28"/>
          <w:szCs w:val="28"/>
        </w:rPr>
        <w:t>;</w:t>
      </w:r>
    </w:p>
    <w:p w:rsidR="00AA5377" w:rsidRPr="00AA5377" w:rsidRDefault="00AF56B5" w:rsidP="00AA537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</w:t>
      </w:r>
      <w:r w:rsidR="00AA5377" w:rsidRPr="00AA53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широко распространена </w:t>
      </w:r>
      <w:r w:rsidR="00AA5377" w:rsidRPr="00AA5377">
        <w:rPr>
          <w:rFonts w:ascii="Times New Roman" w:hAnsi="Times New Roman" w:cs="Times New Roman"/>
          <w:sz w:val="28"/>
          <w:szCs w:val="28"/>
        </w:rPr>
        <w:t xml:space="preserve">тема греховности современного мира, преодолеваемой только во всеобщем воскрешении и преображении, через осознание своей греховности и сострадание </w:t>
      </w:r>
      <w:r>
        <w:rPr>
          <w:rFonts w:ascii="Times New Roman" w:hAnsi="Times New Roman" w:cs="Times New Roman"/>
          <w:sz w:val="28"/>
          <w:szCs w:val="28"/>
        </w:rPr>
        <w:t>(особенно это проявляется в произведениях</w:t>
      </w:r>
      <w:r w:rsidR="00AA5377" w:rsidRPr="00AA5377">
        <w:rPr>
          <w:rFonts w:ascii="Times New Roman" w:hAnsi="Times New Roman" w:cs="Times New Roman"/>
          <w:sz w:val="28"/>
          <w:szCs w:val="28"/>
        </w:rPr>
        <w:t xml:space="preserve"> Ф. Достоевского</w:t>
      </w:r>
      <w:r w:rsidR="00AD4AA8">
        <w:rPr>
          <w:rFonts w:ascii="Times New Roman" w:hAnsi="Times New Roman" w:cs="Times New Roman"/>
          <w:sz w:val="28"/>
          <w:szCs w:val="28"/>
        </w:rPr>
        <w:t>)</w:t>
      </w:r>
    </w:p>
    <w:p w:rsidR="00AA5377" w:rsidRDefault="00AA5377" w:rsidP="00AA537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377">
        <w:rPr>
          <w:rFonts w:ascii="Times New Roman" w:hAnsi="Times New Roman" w:cs="Times New Roman"/>
          <w:sz w:val="28"/>
          <w:szCs w:val="28"/>
        </w:rPr>
        <w:t>В рамках символизма - одного из самых ярких литературных течений Серебряного века, апокалиптическая тематика, берущая свои идейные основы в философии Вл. Соловьева, выражаются в ожидании исторических катастроф. В этой связи основными апокалиптическими темами в творчестве символистов стали тема революции и кризиса современной культуры и цивилизации как явных признаков конца света.</w:t>
      </w:r>
    </w:p>
    <w:p w:rsidR="00E95A88" w:rsidRPr="00E95A88" w:rsidRDefault="00233DE4" w:rsidP="00E95A88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если русская литература строилась на идее очищения через страдание, в 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европейской литературе царил тезис </w:t>
      </w:r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>Ницше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«Бог умер!»  </w:t>
      </w:r>
      <w:r w:rsidR="00C03F17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философи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C03F17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3F17" w:rsidRPr="004804E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Фрейда, согласно которой человек обладает двумя главными инстинктами - «Самосохранение» и «Размножение».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5A88" w:rsidRPr="00E95A8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Источником угрозы при катастрофическом сознании может оказаться</w:t>
      </w:r>
      <w:r w:rsidR="00E95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5A88" w:rsidRPr="00E95A88">
        <w:rPr>
          <w:rFonts w:ascii="Times New Roman" w:hAnsi="Times New Roman" w:cs="Times New Roman"/>
          <w:sz w:val="28"/>
          <w:szCs w:val="28"/>
          <w:shd w:val="clear" w:color="auto" w:fill="FFFFFF"/>
        </w:rPr>
        <w:t>не только внешний враг, природа и пр</w:t>
      </w:r>
      <w:r w:rsidR="00E95A88">
        <w:rPr>
          <w:rFonts w:ascii="Times New Roman" w:hAnsi="Times New Roman" w:cs="Times New Roman"/>
          <w:sz w:val="28"/>
          <w:szCs w:val="28"/>
          <w:shd w:val="clear" w:color="auto" w:fill="FFFFFF"/>
        </w:rPr>
        <w:t>очее</w:t>
      </w:r>
      <w:r w:rsidR="00E95A88" w:rsidRPr="00E95A88">
        <w:rPr>
          <w:rFonts w:ascii="Times New Roman" w:hAnsi="Times New Roman" w:cs="Times New Roman"/>
          <w:sz w:val="28"/>
          <w:szCs w:val="28"/>
          <w:shd w:val="clear" w:color="auto" w:fill="FFFFFF"/>
        </w:rPr>
        <w:t>, но и сам человек.</w:t>
      </w:r>
    </w:p>
    <w:p w:rsidR="00E6681E" w:rsidRDefault="00E6681E" w:rsidP="00E6681E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Катастрофические последствия таких суждений и показывают роман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антиутопи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 авторов, как Р.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Брэдбери</w:t>
      </w:r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«451° по Фаренгейту», </w:t>
      </w:r>
      <w:r w:rsidR="00C03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О. </w:t>
      </w:r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>Хаксли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дивный новый мир»</w:t>
      </w:r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У. </w:t>
      </w:r>
      <w:proofErr w:type="spellStart"/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>Голдинг</w:t>
      </w:r>
      <w:proofErr w:type="spellEnd"/>
      <w:r w:rsidR="007A0B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«Властелин мух».</w:t>
      </w:r>
    </w:p>
    <w:p w:rsidR="00CA1A56" w:rsidRDefault="00CA1A56" w:rsidP="00772B7D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произведениях ХХ века авторы</w:t>
      </w:r>
      <w:r w:rsidRPr="00CA1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показывают разложение всего человечества путем уничтожения духовных и культурных ценностей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Практически все их</w:t>
      </w:r>
      <w:r w:rsidRPr="00CA1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объединить высказыванием древнегреческого философа Платона: «Народ, не знающий или забывший свое прошлое, не имеет будущего»</w:t>
      </w:r>
      <w:r w:rsidR="00772B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B079F" w:rsidRDefault="009B079F" w:rsidP="00772B7D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079F" w:rsidRPr="00646C88" w:rsidRDefault="009B079F" w:rsidP="00646C88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6C88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</w:t>
      </w:r>
    </w:p>
    <w:p w:rsidR="009B079F" w:rsidRPr="00646C88" w:rsidRDefault="009B079F" w:rsidP="00646C88">
      <w:pPr>
        <w:pStyle w:val="a5"/>
        <w:numPr>
          <w:ilvl w:val="0"/>
          <w:numId w:val="1"/>
        </w:numPr>
        <w:shd w:val="clear" w:color="auto" w:fill="FFFFFF"/>
        <w:spacing w:line="30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Библия. Книги священного писания Ветхого и Нового Завета:</w:t>
      </w:r>
      <w:r w:rsidR="00982127"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канонические. — М.: Российское библейское общество, 2012 – 1374 с.</w:t>
      </w:r>
    </w:p>
    <w:p w:rsidR="00982127" w:rsidRPr="00646C88" w:rsidRDefault="00982127" w:rsidP="00646C88">
      <w:pPr>
        <w:pStyle w:val="a5"/>
        <w:numPr>
          <w:ilvl w:val="0"/>
          <w:numId w:val="1"/>
        </w:numPr>
        <w:shd w:val="clear" w:color="auto" w:fill="FFFFFF"/>
        <w:spacing w:line="30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Желтикова И.В., Гудков Д.В. Ожидание будущего: утопия, эсхатология, танатология. – Орел: ОГУ, 2011 – 172 с.</w:t>
      </w:r>
    </w:p>
    <w:p w:rsidR="00982127" w:rsidRPr="00646C88" w:rsidRDefault="00982127" w:rsidP="00646C88">
      <w:pPr>
        <w:pStyle w:val="a5"/>
        <w:numPr>
          <w:ilvl w:val="0"/>
          <w:numId w:val="1"/>
        </w:numPr>
        <w:shd w:val="clear" w:color="auto" w:fill="FFFFFF"/>
        <w:spacing w:line="30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Кальвин Ж. Наставления в христианской вере / пер. А.Д. </w:t>
      </w:r>
      <w:proofErr w:type="spellStart"/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Бакулов</w:t>
      </w:r>
      <w:proofErr w:type="spellEnd"/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– М., 1997 – 443 с.</w:t>
      </w:r>
    </w:p>
    <w:p w:rsidR="00982127" w:rsidRPr="00646C88" w:rsidRDefault="00982127" w:rsidP="00646C88">
      <w:pPr>
        <w:pStyle w:val="a5"/>
        <w:numPr>
          <w:ilvl w:val="0"/>
          <w:numId w:val="1"/>
        </w:numPr>
        <w:shd w:val="clear" w:color="auto" w:fill="FFFFFF"/>
        <w:spacing w:line="30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Каменских А.А. (отв. ред.) </w:t>
      </w:r>
      <w:proofErr w:type="spellStart"/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Эсхатос</w:t>
      </w:r>
      <w:proofErr w:type="spellEnd"/>
      <w:r w:rsidRPr="00646C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философия истории в предчувствии конца истории. – Сб. статей. – Одесса: ФЛП «Фридман А.С.», 2011 – 366 с.</w:t>
      </w:r>
    </w:p>
    <w:p w:rsidR="009B079F" w:rsidRPr="00646C88" w:rsidRDefault="000F5873" w:rsidP="00646C88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color w:val="595959"/>
          <w:sz w:val="28"/>
          <w:szCs w:val="28"/>
        </w:rPr>
      </w:pPr>
      <w:hyperlink r:id="rId5" w:history="1">
        <w:r w:rsidR="009B079F" w:rsidRPr="00646C88">
          <w:rPr>
            <w:rStyle w:val="a4"/>
            <w:rFonts w:ascii="Times New Roman" w:hAnsi="Times New Roman" w:cs="Times New Roman"/>
            <w:sz w:val="28"/>
            <w:szCs w:val="28"/>
          </w:rPr>
          <w:t>http://lib.ru</w:t>
        </w:r>
      </w:hyperlink>
    </w:p>
    <w:p w:rsidR="009B079F" w:rsidRPr="00646C88" w:rsidRDefault="000F5873" w:rsidP="00646C88">
      <w:pPr>
        <w:numPr>
          <w:ilvl w:val="0"/>
          <w:numId w:val="1"/>
        </w:numPr>
        <w:spacing w:line="300" w:lineRule="auto"/>
        <w:rPr>
          <w:rFonts w:ascii="Times New Roman" w:hAnsi="Times New Roman" w:cs="Times New Roman"/>
          <w:color w:val="595959"/>
          <w:sz w:val="28"/>
          <w:szCs w:val="28"/>
        </w:rPr>
      </w:pPr>
      <w:hyperlink r:id="rId6" w:history="1">
        <w:r w:rsidR="00982127" w:rsidRPr="00646C88">
          <w:rPr>
            <w:rStyle w:val="a4"/>
            <w:rFonts w:ascii="Times New Roman" w:hAnsi="Times New Roman" w:cs="Times New Roman"/>
            <w:sz w:val="28"/>
            <w:szCs w:val="28"/>
          </w:rPr>
          <w:t>http://modernlib.ru/books/haksli_oldos_leonard/o_divniy_noviy_mir/read/</w:t>
        </w:r>
      </w:hyperlink>
      <w:r w:rsidR="00982127" w:rsidRPr="00646C8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</w:p>
    <w:p w:rsidR="009B079F" w:rsidRPr="00646C88" w:rsidRDefault="000F5873" w:rsidP="00646C88">
      <w:pPr>
        <w:numPr>
          <w:ilvl w:val="0"/>
          <w:numId w:val="1"/>
        </w:numPr>
        <w:spacing w:line="300" w:lineRule="auto"/>
        <w:rPr>
          <w:rFonts w:ascii="Times New Roman" w:hAnsi="Times New Roman" w:cs="Times New Roman"/>
          <w:color w:val="595959"/>
          <w:sz w:val="28"/>
          <w:szCs w:val="28"/>
        </w:rPr>
      </w:pPr>
      <w:hyperlink r:id="rId7" w:history="1">
        <w:r w:rsidR="009B079F" w:rsidRPr="00646C88">
          <w:rPr>
            <w:rStyle w:val="a4"/>
            <w:rFonts w:ascii="Times New Roman" w:hAnsi="Times New Roman" w:cs="Times New Roman"/>
            <w:color w:val="001345"/>
            <w:sz w:val="28"/>
            <w:szCs w:val="28"/>
          </w:rPr>
          <w:t>http://www.magister.msk.ru/relig/bible/rusbib77.htm</w:t>
        </w:r>
      </w:hyperlink>
      <w:r w:rsidR="00646C88" w:rsidRPr="00646C8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</w:p>
    <w:p w:rsidR="009B079F" w:rsidRPr="00646C88" w:rsidRDefault="000F5873" w:rsidP="00646C88">
      <w:pPr>
        <w:numPr>
          <w:ilvl w:val="0"/>
          <w:numId w:val="1"/>
        </w:numPr>
        <w:spacing w:line="300" w:lineRule="auto"/>
        <w:rPr>
          <w:rFonts w:ascii="Times New Roman" w:hAnsi="Times New Roman" w:cs="Times New Roman"/>
          <w:color w:val="595959"/>
          <w:sz w:val="28"/>
          <w:szCs w:val="28"/>
        </w:rPr>
      </w:pPr>
      <w:hyperlink r:id="rId8" w:history="1">
        <w:r w:rsidR="009B079F" w:rsidRPr="00646C88">
          <w:rPr>
            <w:rStyle w:val="a4"/>
            <w:rFonts w:ascii="Times New Roman" w:hAnsi="Times New Roman" w:cs="Times New Roman"/>
            <w:color w:val="001345"/>
            <w:sz w:val="28"/>
            <w:szCs w:val="28"/>
          </w:rPr>
          <w:t>http://tolkslovar.ru</w:t>
        </w:r>
      </w:hyperlink>
      <w:r w:rsidR="00646C88" w:rsidRPr="00646C8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</w:p>
    <w:p w:rsidR="009B079F" w:rsidRPr="00646C88" w:rsidRDefault="000F5873" w:rsidP="00646C88">
      <w:pPr>
        <w:numPr>
          <w:ilvl w:val="0"/>
          <w:numId w:val="1"/>
        </w:numPr>
        <w:spacing w:line="300" w:lineRule="auto"/>
        <w:rPr>
          <w:rFonts w:ascii="Times New Roman" w:hAnsi="Times New Roman" w:cs="Times New Roman"/>
          <w:color w:val="595959"/>
          <w:sz w:val="28"/>
          <w:szCs w:val="28"/>
        </w:rPr>
      </w:pPr>
      <w:hyperlink r:id="rId9" w:history="1">
        <w:r w:rsidR="00646C88" w:rsidRPr="00646C88">
          <w:rPr>
            <w:rStyle w:val="a4"/>
            <w:rFonts w:ascii="Times New Roman" w:hAnsi="Times New Roman" w:cs="Times New Roman"/>
            <w:sz w:val="28"/>
            <w:szCs w:val="28"/>
          </w:rPr>
          <w:t>http://enc-dic.com/aphorism/Proshloe-2235/</w:t>
        </w:r>
      </w:hyperlink>
      <w:r w:rsidR="00646C88" w:rsidRPr="00646C8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</w:p>
    <w:p w:rsidR="009B079F" w:rsidRPr="00CA1A56" w:rsidRDefault="009B079F" w:rsidP="00772B7D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5377" w:rsidRDefault="00AA5377" w:rsidP="00CA1A56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A5377" w:rsidSect="00A551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67BE"/>
    <w:multiLevelType w:val="multilevel"/>
    <w:tmpl w:val="7556C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551B6"/>
    <w:rsid w:val="0004477C"/>
    <w:rsid w:val="0009042C"/>
    <w:rsid w:val="00092058"/>
    <w:rsid w:val="000953DA"/>
    <w:rsid w:val="000A1EAE"/>
    <w:rsid w:val="000F5873"/>
    <w:rsid w:val="00184747"/>
    <w:rsid w:val="001E365A"/>
    <w:rsid w:val="00233DE4"/>
    <w:rsid w:val="0023533B"/>
    <w:rsid w:val="002654DA"/>
    <w:rsid w:val="00294F1E"/>
    <w:rsid w:val="002A1701"/>
    <w:rsid w:val="002B4001"/>
    <w:rsid w:val="002E3743"/>
    <w:rsid w:val="0030676F"/>
    <w:rsid w:val="00367F8F"/>
    <w:rsid w:val="00375BA0"/>
    <w:rsid w:val="00413CB6"/>
    <w:rsid w:val="004804E5"/>
    <w:rsid w:val="00484FE5"/>
    <w:rsid w:val="004E3307"/>
    <w:rsid w:val="00592A02"/>
    <w:rsid w:val="005A097F"/>
    <w:rsid w:val="005E3E74"/>
    <w:rsid w:val="006126B4"/>
    <w:rsid w:val="00646C88"/>
    <w:rsid w:val="00681F28"/>
    <w:rsid w:val="006A6B47"/>
    <w:rsid w:val="0070229E"/>
    <w:rsid w:val="0076303D"/>
    <w:rsid w:val="00772B7D"/>
    <w:rsid w:val="007A0B34"/>
    <w:rsid w:val="007E1DFD"/>
    <w:rsid w:val="00810BF2"/>
    <w:rsid w:val="00851A86"/>
    <w:rsid w:val="00871FC9"/>
    <w:rsid w:val="008C74AC"/>
    <w:rsid w:val="009764F7"/>
    <w:rsid w:val="00977515"/>
    <w:rsid w:val="00982127"/>
    <w:rsid w:val="009B079F"/>
    <w:rsid w:val="009B46E9"/>
    <w:rsid w:val="00A17839"/>
    <w:rsid w:val="00A551B6"/>
    <w:rsid w:val="00A84B89"/>
    <w:rsid w:val="00A903D4"/>
    <w:rsid w:val="00AA5377"/>
    <w:rsid w:val="00AD4AA8"/>
    <w:rsid w:val="00AF56B5"/>
    <w:rsid w:val="00B11CE3"/>
    <w:rsid w:val="00B12FF5"/>
    <w:rsid w:val="00B63D22"/>
    <w:rsid w:val="00B7101D"/>
    <w:rsid w:val="00B96EEB"/>
    <w:rsid w:val="00BA4352"/>
    <w:rsid w:val="00C03F17"/>
    <w:rsid w:val="00C07A4D"/>
    <w:rsid w:val="00CA1A56"/>
    <w:rsid w:val="00D14246"/>
    <w:rsid w:val="00D921C3"/>
    <w:rsid w:val="00DD37ED"/>
    <w:rsid w:val="00DD3D87"/>
    <w:rsid w:val="00DE70E8"/>
    <w:rsid w:val="00E6681E"/>
    <w:rsid w:val="00E75F37"/>
    <w:rsid w:val="00E95A88"/>
    <w:rsid w:val="00EB5E1B"/>
    <w:rsid w:val="00F04109"/>
    <w:rsid w:val="00F36296"/>
    <w:rsid w:val="00FD4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04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A097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097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B07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lkslova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gister.msk.ru/relig/bible/rusbib7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dernlib.ru/books/haksli_oldos_leonard/o_divniy_noviy_mir/rea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c-dic.com/aphorism/Proshloe-22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6</Pages>
  <Words>1976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Олия</dc:creator>
  <cp:keywords/>
  <dc:description/>
  <cp:lastModifiedBy>user9</cp:lastModifiedBy>
  <cp:revision>16</cp:revision>
  <dcterms:created xsi:type="dcterms:W3CDTF">2024-05-16T13:43:00Z</dcterms:created>
  <dcterms:modified xsi:type="dcterms:W3CDTF">2024-05-30T11:23:00Z</dcterms:modified>
</cp:coreProperties>
</file>