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634" w:rsidRPr="00757634" w:rsidRDefault="00757634" w:rsidP="0075763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ТЕПЛОХОД «ВЛАДИМИР МЯСНИКОВ»</w:t>
      </w:r>
    </w:p>
    <w:p w:rsidR="00757634" w:rsidRPr="00757634" w:rsidRDefault="00757634" w:rsidP="0075763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br/>
      </w:r>
      <w:r w:rsidRPr="007576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Введение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Морской транспорт играет в хозяйственной жизни нашей страны очень важную роль.</w:t>
      </w:r>
      <w:r w:rsidR="004B60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Крепнущие и расширяющиеся международные экономические связи России способствуют увеличению грузооборота, в осуществлении которого значительную роль играют морские суда, являющиеся подчас незаменимым транспортным средством.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Сухогруз</w:t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или </w:t>
      </w:r>
      <w:r w:rsidRPr="007576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сухогрузное судно</w:t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— грузовое судно речного или морского базирования, приспособленное для перевозки различных сухих грузов, например, сыпучих грузов,</w:t>
      </w:r>
      <w:r w:rsidR="004B60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зерна, леса, щепы, минеральных удобрений, специальных контейнеров международного стандарта и других грузов. Часто оснащается двойным дном и бортами для повышения безопасности плавания.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 типу перевозимых грузов различаются следующие виды сухогрузов:</w:t>
      </w:r>
    </w:p>
    <w:p w:rsidR="00757634" w:rsidRPr="00757634" w:rsidRDefault="00757634" w:rsidP="007576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Балкер, или </w:t>
      </w:r>
      <w:proofErr w:type="spellStart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навалочник</w:t>
      </w:r>
      <w:proofErr w:type="spellEnd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— специализированное судно для перевозки грузов насыпью и навалом, таких как зерно, уголь, руда, цемент и других сыпучих грузов.</w:t>
      </w:r>
    </w:p>
    <w:p w:rsidR="00757634" w:rsidRPr="00757634" w:rsidRDefault="00757634" w:rsidP="007576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Контейнеровоз — судно для перевозки грузов в однотипных контейнерах.</w:t>
      </w:r>
    </w:p>
    <w:p w:rsidR="00757634" w:rsidRPr="00757634" w:rsidRDefault="00757634" w:rsidP="007576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Лесовоз — судно для перевозки леса.</w:t>
      </w:r>
    </w:p>
    <w:p w:rsidR="00757634" w:rsidRPr="00757634" w:rsidRDefault="00757634" w:rsidP="007576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proofErr w:type="spellStart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Ролкер</w:t>
      </w:r>
      <w:proofErr w:type="spellEnd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— судно для перевозки грузов на колесной базе: автомобили, грузовой транспорт, железнодорожные вагоны</w:t>
      </w:r>
      <w:hyperlink r:id="rId5" w:tooltip="Вагон" w:history="1">
        <w:r w:rsidRPr="00757634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br/>
        </w:r>
      </w:hyperlink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Существуют и другие типы сухогрузов, а также комбинированные и универсальные </w:t>
      </w:r>
      <w:proofErr w:type="spellStart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сухогрузые</w:t>
      </w:r>
      <w:proofErr w:type="spellEnd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суда, способные перевозить грузы нескольких видов.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 сухогрузным судам относятся: </w:t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суда для перевозки генеральных грузов, рефрижераторные суда, зерновозы, угольщики, рудовозы, лесовозы.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Универсальное сухогрузное судно – грузовое судно для перевозки генеральных грузов в упаковке (ящиках, кипах и т. п.) или отдельными местами (например, металлические конструкции, различное оборудование), а также контейнеров, некоторых навалочных грузов и колёсной техники.</w:t>
      </w:r>
    </w:p>
    <w:p w:rsidR="00757634" w:rsidRPr="00757634" w:rsidRDefault="00757634" w:rsidP="007576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6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 w:type="textWrapping" w:clear="all"/>
      </w:r>
    </w:p>
    <w:p w:rsidR="004B6076" w:rsidRDefault="004B6076" w:rsidP="007576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4B6076" w:rsidRDefault="004B6076" w:rsidP="007576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Характеристика судна “Владимир Мясников”</w:t>
      </w:r>
      <w:r w:rsidRPr="007576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</w:r>
      <w:r w:rsidRPr="00757634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br/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Общие сведения:</w:t>
      </w:r>
    </w:p>
    <w:tbl>
      <w:tblPr>
        <w:tblpPr w:leftFromText="45" w:rightFromText="45" w:vertAnchor="text"/>
        <w:tblW w:w="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3"/>
        <w:gridCol w:w="4716"/>
      </w:tblGrid>
      <w:tr w:rsidR="00757634" w:rsidRPr="00757634" w:rsidTr="00757634">
        <w:trPr>
          <w:tblCellSpacing w:w="0" w:type="dxa"/>
        </w:trPr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Название судна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ВЛАДИМИР МЯСНИКОВ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Бывшее название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ATLAS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Год смены названия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2012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Позывной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UBNI5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Порт приписки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Владивосток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Флаг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Россия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Символ класса РС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KM* L1 AUT1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Символ ИКО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Реновация корпуса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Дата реновации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</w:tr>
    </w:tbl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br/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Тип судна:</w:t>
      </w:r>
    </w:p>
    <w:tbl>
      <w:tblPr>
        <w:tblW w:w="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5"/>
        <w:gridCol w:w="4704"/>
      </w:tblGrid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Основной тип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proofErr w:type="spellStart"/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Генгруз</w:t>
            </w:r>
            <w:proofErr w:type="spellEnd"/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Подтипы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Контейнерные устройства</w:t>
            </w:r>
          </w:p>
        </w:tc>
      </w:tr>
    </w:tbl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Сведения о постройке:</w:t>
      </w:r>
    </w:p>
    <w:tbl>
      <w:tblPr>
        <w:tblW w:w="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5"/>
        <w:gridCol w:w="4654"/>
      </w:tblGrid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Дата постройки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22.08.1991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Страна постройки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Нидерланды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Строительный номер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282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Дата значительной части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Значительная часть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</w:tr>
    </w:tbl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</w:p>
    <w:tbl>
      <w:tblPr>
        <w:tblpPr w:leftFromText="45" w:rightFromText="45" w:vertAnchor="text"/>
        <w:tblW w:w="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6"/>
        <w:gridCol w:w="4633"/>
      </w:tblGrid>
      <w:tr w:rsidR="00757634" w:rsidRPr="00757634" w:rsidTr="00757634">
        <w:trPr>
          <w:tblCellSpacing w:w="0" w:type="dxa"/>
        </w:trPr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Валовая вместимость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7949 МК-1969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Чистая вместимость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4157 МК-1969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Валовая ТМ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Чистая ТМ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Дедвейт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12239т.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Водоизмещение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16034т.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Длина габаритная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129.8 м.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Длина расчётная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120.6 м.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Ширина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18.9 м.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Ширина расчётная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18.9 м.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Высота борта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11.65 м.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Осадка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8.6 м.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Скорость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14.0</w:t>
            </w:r>
          </w:p>
        </w:tc>
      </w:tr>
    </w:tbl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 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Механизмы:</w:t>
      </w:r>
    </w:p>
    <w:tbl>
      <w:tblPr>
        <w:tblW w:w="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4"/>
        <w:gridCol w:w="4685"/>
      </w:tblGrid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Тип силовой установки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Дизельная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 Главный двигатель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Год постройки ГД: 1991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Страна постройки: Финляндия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Количество и мощность ГД:1*4920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Марка: 12V 32E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Количество и мощность ГЭД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Количество и тип движителя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1-Винт регулируемого шага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Количество лопастей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Количество и мощность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генераторов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3*348 1*320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Количество главных котлов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Тип главных котлов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Давление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0.0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Поверхность нагрева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</w:t>
            </w:r>
          </w:p>
        </w:tc>
      </w:tr>
    </w:tbl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Холодильная установка и </w:t>
      </w:r>
      <w:proofErr w:type="gramStart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радио-навигационное</w:t>
      </w:r>
      <w:proofErr w:type="gramEnd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оборудование:</w:t>
      </w:r>
    </w:p>
    <w:tbl>
      <w:tblPr>
        <w:tblW w:w="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0"/>
        <w:gridCol w:w="4719"/>
      </w:tblGrid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proofErr w:type="gramStart"/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Радио-навигационное</w:t>
            </w:r>
            <w:proofErr w:type="gramEnd"/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оборудование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Магнитный компас;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Гирокомпас;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Радиолокационная станция (тоже – РЛ);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Радиолокационная станция (тоже – РЛ);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Эхолот;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Лаг (Тоже – ЛГЭ);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Средство автоматической радиолокационной прокладки;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УКВ радиоустановка (УКВ радиотелефонная станция с цифровым избирательным вызовом);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УКВ радиоустановка (УКВ радиотелефонная станция с цифровым избирательным вызовом);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ПВ радиоустановка (ПВ радиотелефонная станция с цифровым избирательным вызовом;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Судовая земная станция системы ГМССБ;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Судовая земная станция системы ГМССБ;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Спутниковый аварийный радиобуй системы КОСПАС-САРСАТ;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Приемник службы НАВТЕКС;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Приемник расширенного группового вызова;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Приемник цифрового избирательного вызова;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Радиолокационный ответчик, Передатчик АИС для целей поиска и спасания;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Радиолокационный ответчик, Передатчик АИС для целей поиска и спасания;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УКВ аппаратура двусторонней радиотелефонной связи;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УКВ аппаратура двусторонней радиотелефонной связи;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УКВ аппаратура двусторонней радиотелефонной связи;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Аппаратура автоматической идентификационной системы;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Упрощенный регистратор данных рейса;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Судовая система охранного оповещения;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Командно-трансляционное устройство;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Оборудование системы опознавания судов и слежения за ними на дальнем расстоянии;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Система контроля дееспособности вахтенного помощника капитана;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Морские районы ГМССБ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A1 +A2 +A3</w:t>
            </w:r>
          </w:p>
        </w:tc>
      </w:tr>
    </w:tbl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Трюма, палубы, пассажиры:</w:t>
      </w:r>
    </w:p>
    <w:tbl>
      <w:tblPr>
        <w:tblW w:w="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8"/>
        <w:gridCol w:w="4631"/>
      </w:tblGrid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Количество и кубатура грузовых трюмов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1*14784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Охлаждаемые грузовые помещения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Танки грузовые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Количество и тип контейнеров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678 REF </w:t>
            </w:r>
            <w:proofErr w:type="spellStart"/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including</w:t>
            </w:r>
            <w:proofErr w:type="spellEnd"/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Количество палуб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Количество переборок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Число пассажиров коечные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Число пассажиров бесконечных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proofErr w:type="spellStart"/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Спецперсонал</w:t>
            </w:r>
            <w:proofErr w:type="spellEnd"/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</w:t>
            </w:r>
          </w:p>
        </w:tc>
      </w:tr>
    </w:tbl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Люки, стрелы, краны:</w:t>
      </w:r>
    </w:p>
    <w:tbl>
      <w:tblPr>
        <w:tblW w:w="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6"/>
        <w:gridCol w:w="4693"/>
      </w:tblGrid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Грузовые люки (число и размер в свету)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2–26.6*15.8  1–25.2*15*8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Стрелы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Краны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3*40.0</w:t>
            </w:r>
          </w:p>
        </w:tc>
      </w:tr>
    </w:tbl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Запасы и снабжение:</w:t>
      </w:r>
    </w:p>
    <w:tbl>
      <w:tblPr>
        <w:tblW w:w="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7"/>
        <w:gridCol w:w="4632"/>
      </w:tblGrid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Запасы топлива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1239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Тип топлива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Дизельное, Мазут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Водяной балласт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4322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Подогреватели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ПТ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Характеристика снабжения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1404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Категория якорных цепей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Особой прочности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Калибр якорных цепей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50.0</w:t>
            </w:r>
          </w:p>
        </w:tc>
      </w:tr>
    </w:tbl>
    <w:p w:rsidR="004B6076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Компания судна:</w:t>
      </w:r>
    </w:p>
    <w:tbl>
      <w:tblPr>
        <w:tblW w:w="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5"/>
        <w:gridCol w:w="4934"/>
      </w:tblGrid>
      <w:tr w:rsidR="00757634" w:rsidRPr="00757634" w:rsidTr="00757634">
        <w:trPr>
          <w:tblCellSpacing w:w="0" w:type="dxa"/>
        </w:trPr>
        <w:tc>
          <w:tcPr>
            <w:tcW w:w="4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Собственник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ООО "Камчатское морское пароходство"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A</w:t>
            </w:r>
            <w:proofErr w:type="gramStart"/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дрес:Россия</w:t>
            </w:r>
            <w:proofErr w:type="gramEnd"/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,683001 Петропавловск-Камчатский, пл. Щедрина, 2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ИМО:5536098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Email:office@kamlines.com; tech01@vlad.kasco.su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Сайт компании:</w:t>
            </w:r>
          </w:p>
        </w:tc>
      </w:tr>
    </w:tbl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Классификация гражданских судов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Район плавания: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I</w:t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— плавание в морских районах на волнении с высотой волны 3%-ной обеспеченности 8,5м, с удалением от места убежища не более 200 миль и с допустимым расстоянием между местами убежища не более 400 миль;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II</w:t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— плавание в морских районах на волнении с высотой волны 3%-ной обеспеченности 7,0 м, с удалением от места убежища не более 100 миль и с допустимым расстоянием между местами убежища не более 200 миль;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Место убежища — любая естественно или искусственно защищенная акватория, которая может быть использована для укрытия судна при возникновении обстоятельств, угрожающих его безопасности.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рейдовые (плавание в акватории портов и в устьях больших рек с выходом на морские рейды);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III</w:t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— портовое, рейдовое и прибрежное плавание в границах, установленных Регистром в каждом случае.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внутреннего плавания (речные и озерные);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смешанного плавания (река-море).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II СП</w:t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— смешанное (река-море) плавание на волнении с высотой волны 3%-ной обеспеченности 6,0 м, с удалением от места убежища: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открытых морях не более 50 миль и с допустимым расстоянием между местами убежища не более 100 миль,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в закрытых морях не более 100 миль и с допустимым расстоянием между местами убежища не более 200 миль;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III СП</w:t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— смешанное (река-море) плавание на волнении с высотой волны 3%-ной обеспеченности 3,5 м, с учетом конкретных ограничений по району и условиям плавания, обусловленных </w:t>
      </w:r>
      <w:proofErr w:type="spellStart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ветро</w:t>
      </w:r>
      <w:proofErr w:type="spellEnd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-волновыми режимами бассейнов, с установлением при этом максимально допустимого удаления от места убежища, которое не должно превышать 50 миль;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 средствам движения: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самоходные – с механическим двигателем, являющимся источником энергии для движения судна,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несамоходные – передвигающиеся от источника энергии, находящегося вне судна (с помощью буксиров, толкачей, от энергии ветра.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 типу главного двигателя: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теплоходы (ГД – ДВС),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пароходы (ГД – паровая поршневая машина),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турбоходы (ГД – паровая турбина),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proofErr w:type="spellStart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газотурбоходы</w:t>
      </w:r>
      <w:proofErr w:type="spellEnd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(ГД – газовая турбина),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электроходы (гребной винт вращается электродвигателем; различают турбоэлектроход и дизель-электроход в зависимости от рода двигателя, приводящего в действие генератор электрического тока),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атомоходы (источник тепловой энергии – атомный реактор),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гребные</w:t>
      </w:r>
      <w:r w:rsidRPr="0075763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суда</w:t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(приводятся в движение мускульной силой человека).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 характеру движения по воде: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водоизмещающие – надводные и подводные;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суда с динамическими принципами поддержания – глиссирующие (скользящие по поверхности воды), СПК (суда на подводных крыльях) и СВП (суда на воздушной подушке).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 роду движителя: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винтовые,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колесные,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- со специальным движителем (</w:t>
      </w:r>
      <w:proofErr w:type="spellStart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крыльчатый</w:t>
      </w:r>
      <w:proofErr w:type="spellEnd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роторный, водометный, пр.),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весельные,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парусные.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 материалу корпуса: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стальные,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из легких сплавов,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пластмассовые,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деревянные,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железобетонные,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композитные.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 архитектурно-конструктивному типу: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количество корпусов (однокорпусные, двухкорпусные – катамараны, трехкорпусные – тримараны);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количество и расположение надстроек и рубок (с баком, с ютом, со средней надстройкой, пр.) – одно-, двух- и </w:t>
      </w:r>
      <w:proofErr w:type="spellStart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трехостровные</w:t>
      </w:r>
      <w:proofErr w:type="spellEnd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количество и конструкция непрерывных палуб – одно-, двух-, трехпалубные;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положение палубы надводного борта;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по форме поперечного сечения корпуса – с </w:t>
      </w:r>
      <w:proofErr w:type="spellStart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прямостенными</w:t>
      </w:r>
      <w:proofErr w:type="spellEnd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бортами и с наклонными бортами;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по форме носовой оконечности – с прямым, наклонным, ледокольным, </w:t>
      </w:r>
      <w:proofErr w:type="spellStart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бульбообразным</w:t>
      </w:r>
      <w:proofErr w:type="spellEnd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форштевнем и др.;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по форме кормовой оконечности – с крейсерской и </w:t>
      </w:r>
      <w:proofErr w:type="spellStart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транцевой</w:t>
      </w:r>
      <w:proofErr w:type="spellEnd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кормой;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по форме днища – плоскодонные и </w:t>
      </w:r>
      <w:proofErr w:type="spellStart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килеватые</w:t>
      </w:r>
      <w:proofErr w:type="spellEnd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по продольной форме корпуса – суда с цилиндрической вставкой (участок по длине судна, на котором форма поперечного сечения не изменяется) и без цилиндрической вставки;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расположение машинного или машинно-котельного отделения.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По количеству гребных валов: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одновальное – большинство грузовых и промысловых судов,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proofErr w:type="spellStart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двухвальное</w:t>
      </w:r>
      <w:proofErr w:type="spellEnd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– пассажирские и специальные суда,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proofErr w:type="spellStart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трехвальное</w:t>
      </w:r>
      <w:proofErr w:type="spellEnd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– большие контейнеровозы, ледоколы,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proofErr w:type="spellStart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четырехвальное</w:t>
      </w:r>
      <w:proofErr w:type="spellEnd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– океанские пассажирские лайнеры-гиганты.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 прочим признакам: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ледовые классы;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район плавания речных и озерных судов;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категории снабжения, автономности, безопасности плавания, степени автоматизации и т.д.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00"/>
          <w:sz w:val="36"/>
          <w:szCs w:val="36"/>
          <w:lang w:eastAsia="ru-RU"/>
        </w:rPr>
      </w:pPr>
      <w:r w:rsidRPr="007576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</w:p>
    <w:p w:rsidR="00757634" w:rsidRPr="00757634" w:rsidRDefault="00757634" w:rsidP="00757634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00"/>
          <w:sz w:val="36"/>
          <w:szCs w:val="36"/>
          <w:lang w:eastAsia="ru-RU"/>
        </w:rPr>
      </w:pPr>
      <w:r w:rsidRPr="007576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Признаки, классификации судна “Владимир Мясников”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Район плавания - I</w:t>
      </w:r>
    </w:p>
    <w:tbl>
      <w:tblPr>
        <w:tblW w:w="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695"/>
      </w:tblGrid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Назначение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Транспортное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Район плавания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Морской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Средства движения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Самоходный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Тип главного двигателя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Теплоход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Характер движения по воде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Надводное (водоизмещающее)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Род движителя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Винтовой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Материал корпуса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Стальной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Архитектурно – конструктивный тип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Число корпусов:1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Количество и расположение надстроек: 1; заднее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Число палуб: 1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Положение палубы надводного борта: -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Расположение МКО: Заднее</w:t>
            </w:r>
          </w:p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Количество гребных валов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Одновальный</w:t>
            </w:r>
          </w:p>
        </w:tc>
      </w:tr>
    </w:tbl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 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Классификация СЭУ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роду топлива: работающие на органическом (нефть, газ, уголь, синтетические топлива и т. п.) и ядерном;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роду рабочего тела: паровые (пар) и газовые (продукты сгорания органического топлива или нагретый газ);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типу ГД: дизельные, паротурбинные, газотурбинные, комби</w:t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нированные;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способу передачи мощности к движителям: с прямой (непо</w:t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средственной), механической (редукторной), гидравлической, элек</w:t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трической и комбинированной передачами;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числу </w:t>
      </w:r>
      <w:proofErr w:type="spellStart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валопроводов</w:t>
      </w:r>
      <w:proofErr w:type="spellEnd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: одновальные и </w:t>
      </w:r>
      <w:proofErr w:type="spellStart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многовальные</w:t>
      </w:r>
      <w:proofErr w:type="spellEnd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числу ГД, работающих на один вал: </w:t>
      </w:r>
      <w:proofErr w:type="spellStart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одномашинные</w:t>
      </w:r>
      <w:proofErr w:type="spellEnd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мно</w:t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гомашинные;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способу обеспечения реверса судна: с реверсивным ГД; с нереверсивным ГД и </w:t>
      </w:r>
      <w:proofErr w:type="spellStart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реверсредуктором</w:t>
      </w:r>
      <w:proofErr w:type="spellEnd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или реверсивной муфтой; с нереверсивным ГД и обеспечением заднего хода с помощью ВРШ;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степени автоматизации, способу управления и обслужива</w:t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ния: неавтоматизированные и частично автоматизированные СЭУ с местным постом управления и постоянной вахтой в МО; авто</w:t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матизированные СЭУ с ДАУ, с постоянной вахтой в центральном посту управления (ЦПУ) и периодическим обслуживанием в МО (степень автоматизации А2); автоматизированные СЭУ с ДАУ, без постоянной вахты в ЦПУ и МО и с периодическим обслужива</w:t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нием (степень автоматизации А1).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proofErr w:type="spellStart"/>
      <w:r w:rsidRPr="007576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СЭУна</w:t>
      </w:r>
      <w:proofErr w:type="spellEnd"/>
      <w:r w:rsidRPr="007576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 Владимире </w:t>
      </w:r>
      <w:proofErr w:type="spellStart"/>
      <w:r w:rsidRPr="007576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Мясникове</w:t>
      </w:r>
      <w:proofErr w:type="spellEnd"/>
      <w:r w:rsidRPr="007576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:</w:t>
      </w:r>
    </w:p>
    <w:tbl>
      <w:tblPr>
        <w:tblW w:w="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0"/>
        <w:gridCol w:w="4719"/>
      </w:tblGrid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 роду топлива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органическое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 роду рабочего тела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газовый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 типу ГД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дизельный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 способу передачи мощности к движителям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механическая (редукторная)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По числу </w:t>
            </w:r>
            <w:proofErr w:type="spellStart"/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валопроводов</w:t>
            </w:r>
            <w:proofErr w:type="spellEnd"/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одновальный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 числу ГД, работающих на один вал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proofErr w:type="spellStart"/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одномашинный</w:t>
            </w:r>
            <w:proofErr w:type="spellEnd"/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 способу обеспечения реверса судна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 нереверсивным ГД и обеспечением заднего хода с помощью ВРШ</w:t>
            </w:r>
          </w:p>
        </w:tc>
      </w:tr>
      <w:tr w:rsidR="00757634" w:rsidRPr="00757634" w:rsidTr="00757634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 степени автоматизации, способу управления и обслужива</w:t>
            </w: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ния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7634" w:rsidRPr="00757634" w:rsidRDefault="00757634" w:rsidP="00757634">
            <w:pPr>
              <w:spacing w:before="100" w:beforeAutospacing="1" w:after="100" w:afterAutospacing="1" w:line="240" w:lineRule="auto"/>
              <w:ind w:left="120" w:right="120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автоматизированные СЭУ с ДАУ, без постоянной вахты в ЦПУ и МО и с </w:t>
            </w: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периодическим обслужива</w:t>
            </w:r>
            <w:r w:rsidRPr="0075763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нием (степень автоматизации А1)</w:t>
            </w:r>
          </w:p>
        </w:tc>
      </w:tr>
    </w:tbl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                                  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bookmarkStart w:id="0" w:name="_GoBack"/>
      <w:bookmarkEnd w:id="0"/>
      <w:r w:rsidRPr="007576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Буксирное устройство судна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Буксирное устройство</w:t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устанавливаемое на буксирных и спасательных судах, предназначено для буксировки несамоходных судов и </w:t>
      </w:r>
      <w:proofErr w:type="spellStart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плавсредств</w:t>
      </w:r>
      <w:proofErr w:type="spellEnd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а также самоходных судов, потерявших возможность двигаться своим ходом.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Выбор типа буксирного устройства зависит от назначения буксира и способа буксировки. При морских буксировках на длинном тросе применяют кильватерный способ; буксировку в порту и на рейде чаще выполняют лагом (борт о борт), а также в кильватер на коротком тросе (длиной до 100 м). Для буксировок по внутренним водным путям характерны как первые два способа, так и способ толкания, распространившийся после создания речных и озерных толкачей. Особым образом проводят буксировку во льдах: нос буксируемого судна вводят в углубление в корме буксира, надежно швартуют и в таком положении буксируют, судно.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состав буксирного устройства входят буксирная лебедка (устанавливаемая только на морских буксирах и буксирах внутреннего плавания), трос, гак, или направляющий блок, буксирная дуга, арки, буксирный клюз и ограничители буксирного троса.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Буксирная лебедка</w:t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предназначена для регулирования в процессе буксировки длины и натяжения буксирного троса. Длину обычно изменяют только во время буксировки судов по внутренним водным путям; в условиях извилистого фарватера, при проходе быстрин, перекатов и других мест, когда приходится уменьшать расстояние между буксиром и судном. Натяжение троса необходимо регулировать только при морской буксировке в условиях волнения, когда трос попеременно то ослабляется, то чрезмерно натягивается.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Буксирная лебедка имеет барабан, позволяющий принимать до 300 м троса на речных судах и до 900 м - на морских. Различают буксирные лебедки простого действия - на буксирах внутреннего плавания - и автоматические — на морских буксирах. При буксировке речных и озерных судов трос с буксируемого судна направляют на барабан лебедки простого действия, заторможенный ленточным тормозом (при неожиданных рывках срабатывает амортизатор в составе ленточного тормоза и барабан лебедки проворачивается). Конструкция лебедки позволяет стравливать буксирный трос на ходу судна и стопорить барабан лебедки при неработающем приводе с помощью тормоза.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Возникающие на взволнованном море неоднократные рывки смягчаются специальным </w:t>
      </w:r>
      <w:r w:rsidRPr="0075763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следящим автоматическим устройством</w:t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стравливающим трос при чрезмерном его натяжении и выбирающим его при появлении слабины. Во избежание спутывания троса на буксирных лебедках обязательно предусматривают </w:t>
      </w:r>
      <w:proofErr w:type="spellStart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тросоукладчик</w:t>
      </w:r>
      <w:proofErr w:type="spellEnd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Буксирные лебедки имеют электрический или, реже, паровой привод с тяговым усилием от 6 до 100 тс. Для подачи и выбирания буксирных тросов и выполнения швартовных операций на буксирах, не имеющих специальных лебедок, используют электрические лебедки или лебедки-вьюшки.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Буксирные тросы</w:t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применяемые для буксировки, бывают стальные, растительные (пеньковые, манильские, </w:t>
      </w:r>
      <w:proofErr w:type="spellStart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сизальские</w:t>
      </w:r>
      <w:proofErr w:type="spellEnd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) и синтетические (капроновые, нейлоновые, </w:t>
      </w:r>
      <w:proofErr w:type="spellStart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куралоновые</w:t>
      </w:r>
      <w:proofErr w:type="spellEnd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 Последние имеют преимущества перед стальными и растительными тросами: они легче, эластичнее, однако из-за искрообразования при их разрыве применять тросы из искусственного волокна при буксировке судов, перевозящих нефтепродукты первого разряда, как правило, не разрешается.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Буксирный гак</w:t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служит для закрепления буксирного троса и его отдачи при буксировке без помощи специальной лебедки. На буксирах, имеющих буксирные лебедки, гак является резервным средством. Буксирные гаки бывают откидные и не откидные, открытые и закрытые, с амортизатором или без него, с механическим или гидравлическим затвором, с автоматической, дистанционной или ручной отдачей. Правила Регистра требуют, чтобы на морских буксирах применялись откидные закрытые гаки с амортизаторами, имеющие надежную и быстродействующую систему отдачи, что очень важно для безопасности буксира - при достижении им опасного крена трос должен быть немедленно отдан.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Буксирные гаки снабжают пружинными амортизаторами, предназначенными для поглощения энергии ударных волн, возникающих в тросе при буксировке. На некоторых буксирах ограниченного района плавания применяют буксирный направляющий блок, через который пропускают трос от лебедки к буксируемому судну. Направляющий блок крепят аналогично буксирному гаку - на буксирной дуге или (на буксирах внутреннего плавания) стационарно.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Буксирную дугу</w:t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устанавливают в районе ЦТ судна по длине и как можно ниже. Она предназначена для крепления буксирного гака к корпусу буксира с таким расчетом, чтобы он мог перемещаться в горизонтальной плоскости (у портовых буксиров не менее чем на угол 180°).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Буксирные арки </w:t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 труб или круглой кованой стали располагают в кормовой части буксира (две-три арки) для защиты установленного на палубе оборудования и находящихся на ней людей от повреждения тросом. Кроме того, буксирные арки обеспечивают возможность плавного перехода буксирного троса с борта на борт.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lastRenderedPageBreak/>
        <w:t>Кормовой буксирный клюз</w:t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предназначен для ограничения перемещения буксирного троса в горизонтальной и вертикальной плоскостях. Клюзы бывают глухие, с откидывающейся наметкой, и с роульсами. В связи и тем, что в глухие клюзы трудно заводить буксирный трос, их применяют только на небольших портовых и рейдовых буксирах. Более распространены клюзы с наметкой, а на больших буксирах - с роульсами.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Бортовые ограничители буксирного троса</w:t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предотвращают занос его в горизонтальной плоскости в нос на угол, больший допускаемого угла горизонтального перемещения буксирного гака.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Перечисленные детали буксирного устройства применяют при буксировке судов кильватерным способом. Для буксировки лагом используют швартовные кнехты и шпили.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Предназначенные для толкания толкачи, также, как и толкаемые суда или баржи, оборудуют </w:t>
      </w:r>
      <w:proofErr w:type="spellStart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счальными</w:t>
      </w:r>
      <w:proofErr w:type="spellEnd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устройствами, обеспечивающими жесткую счалку толкаемого состава (толкач-баржа), эластичность при ударах и, при необходимости, быструю отдачу. Существует немало различных типов </w:t>
      </w:r>
      <w:proofErr w:type="spellStart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счальных</w:t>
      </w:r>
      <w:proofErr w:type="spellEnd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устройств, но наибольшее распространение получил </w:t>
      </w:r>
      <w:proofErr w:type="spellStart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двухопорный</w:t>
      </w:r>
      <w:proofErr w:type="spellEnd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счал из двух вертикальных сварных стальных балок коробчатого сечения и целой системы тросов, а также двух опорные </w:t>
      </w:r>
      <w:proofErr w:type="spellStart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счальные</w:t>
      </w:r>
      <w:proofErr w:type="spellEnd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устройства с автоматическим сцепным замком, обеспечивающим автоматическое сцепление толкача с баржей и дистанционно управляемое расцепление в течение 20-30 секунд.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7576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Заключение: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Морской флот России понёс большие потери в связи с распадом СССР.</w:t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Потери эти особенно ощутимы в связи с тем, что морской транспорт создавался как единый транспортный комплекс в интересах всех республик. Раздел же морского транспорта произошёл стихийно, без учёта интересов республик, их доли во внешнеторговых перевозках, конкретного вклада в строительство производственных мощностей. В результате подобного раздела и флот, и порты республик бывшего СССР мало отвечают их потребностям в перевозках. Так, например, весь рефрижераторный флот остался в Латвийском пароходстве, пассажирский - в </w:t>
      </w:r>
      <w:proofErr w:type="spellStart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Чёрноморском</w:t>
      </w:r>
      <w:proofErr w:type="spellEnd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За пределами России оказалось около 60% мощности портов бывшего СССР, многие объекты береговой инфраструктуры морского транспорта, построенные в последние годы (порты, отдельные терминалы, морские береговые устройства). Так, </w:t>
      </w:r>
      <w:proofErr w:type="spellStart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Новоталлинский</w:t>
      </w:r>
      <w:proofErr w:type="spellEnd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порт в Эстонии, построенный в 1986г., был главнейшим портом СССР для обработки зерна и местом зерновых хранилищ. Порт Рига в Латвии был одним из двух портов в СССР с современными контейнерными терминалами, а Вентспилс в той же Латвии - главным портом для экспорта нефти. В России остался после 1991г. один припортовый элеватор. Требуется также строительство причалов для контейнеров, нефтепродуктов, рефрижераторных грузов. Так, общий грузооборот во всех морских портах Российской Федерации </w:t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эквивалентен грузообороту двух основных западноевропейских портов вместе взятых - Антверпена и Гамбурга. </w:t>
      </w:r>
      <w:r w:rsidRPr="00757634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br/>
      </w:r>
      <w:r w:rsidRPr="00757634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br/>
      </w: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Перевооружение флота невозможно без совершенствования и реконструкции портов, их структуры, механовооруженности и т.п. Необходимо постоянно поддерживать оптимальное соотношение между размерами и составом флота и числом, емкостью, оснащением портов. При идеальном количественном и качественном соотношении флота и портов суда будут минимально необходимое время находиться под операциями в портах и максимум времени - в полезном движении. 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proofErr w:type="gramStart"/>
      <w:r w:rsidRPr="007576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Суда</w:t>
      </w:r>
      <w:proofErr w:type="gramEnd"/>
      <w:r w:rsidRPr="007576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которые строятся в России а именно 116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 данным главы управления планирования и маркетинга Российского морского регистра судоходства Георгия </w:t>
      </w:r>
      <w:proofErr w:type="spellStart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Бедрика</w:t>
      </w:r>
      <w:proofErr w:type="spellEnd"/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в настоящее время на территории России строят 116 судов различного типа.</w:t>
      </w:r>
    </w:p>
    <w:p w:rsidR="00757634" w:rsidRPr="00757634" w:rsidRDefault="00757634" w:rsidP="0075763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5763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том числе: 4 атомохода, 5 ледоколов, 7 буровых платформ, 5 снабженцев, 5 спасателей, 4 земснаряда, 17 судов технического флота, 21 буксир, 15 грузовых судов класса река-море, 4 рыболовных траулера и 29 судов других типов.</w:t>
      </w:r>
    </w:p>
    <w:p w:rsidR="00012242" w:rsidRDefault="00012242"/>
    <w:sectPr w:rsidR="00012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C7590"/>
    <w:multiLevelType w:val="multilevel"/>
    <w:tmpl w:val="EF682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7DC"/>
    <w:rsid w:val="00012242"/>
    <w:rsid w:val="004B6076"/>
    <w:rsid w:val="00757634"/>
    <w:rsid w:val="00DD1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1C383"/>
  <w15:chartTrackingRefBased/>
  <w15:docId w15:val="{06F0BB40-7F78-40C8-86EC-DB0A07E09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576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5763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57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57634"/>
    <w:rPr>
      <w:b/>
      <w:bCs/>
    </w:rPr>
  </w:style>
  <w:style w:type="character" w:styleId="a5">
    <w:name w:val="Emphasis"/>
    <w:basedOn w:val="a0"/>
    <w:uiPriority w:val="20"/>
    <w:qFormat/>
    <w:rsid w:val="007576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8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92%D0%B0%D0%B3%D0%BE%D0%B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3002</Words>
  <Characters>17113</Characters>
  <Application>Microsoft Office Word</Application>
  <DocSecurity>0</DocSecurity>
  <Lines>142</Lines>
  <Paragraphs>40</Paragraphs>
  <ScaleCrop>false</ScaleCrop>
  <Company>Forest</Company>
  <LinksUpToDate>false</LinksUpToDate>
  <CharactersWithSpaces>20075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Enot Kosik</dc:creator>
  <cp:keywords/>
  <dc:description/>
  <cp:lastModifiedBy>Enot Kosik</cp:lastModifiedBy>
  <cp:revision>3</cp:revision>
  <dcterms:created xsi:type="dcterms:W3CDTF">2018-09-27T11:37:00Z</dcterms:created>
  <dcterms:modified xsi:type="dcterms:W3CDTF">2018-10-02T11:49:00Z</dcterms:modified>
</cp:coreProperties>
</file>