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13B02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Fonts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kern w:val="0"/>
          <w:sz w:val="19"/>
          <w:szCs w:val="19"/>
          <w:lang w:val="en-US" w:eastAsia="zh-CN" w:bidi="ar"/>
        </w:rPr>
        <w:t>Разработка и реализация методического сопровождения образовательного процесса тренера в спортивной школе</w:t>
      </w:r>
      <w:r>
        <w:rPr>
          <w:rFonts w:hint="default" w:ascii="Arial" w:hAnsi="Arial" w:eastAsia="Arial" w:cs="Arial"/>
          <w:kern w:val="0"/>
          <w:sz w:val="19"/>
          <w:szCs w:val="19"/>
          <w:lang w:val="en-US" w:eastAsia="zh-CN" w:bidi="ar"/>
        </w:rPr>
        <w:t> направлены на повышение эффективности тренировочного процесса и достижение высоких спортивных результатов.</w:t>
      </w:r>
    </w:p>
    <w:p w14:paraId="7833AC22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kern w:val="0"/>
          <w:sz w:val="19"/>
          <w:szCs w:val="19"/>
          <w:lang w:val="en-US" w:eastAsia="zh-CN" w:bidi="ar"/>
        </w:rPr>
        <w:t>Некоторые аспекты методического сопровождения:</w:t>
      </w:r>
    </w:p>
    <w:p w14:paraId="0250A4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sz w:val="19"/>
          <w:szCs w:val="19"/>
          <w:bdr w:val="none" w:color="auto" w:sz="0" w:space="0"/>
        </w:rPr>
        <w:t>Диагностика сути проблемы</w:t>
      </w: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. Включает в себя информационный поиск методов для её решения.</w:t>
      </w:r>
    </w:p>
    <w:p w14:paraId="6784BE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sz w:val="19"/>
          <w:szCs w:val="19"/>
          <w:bdr w:val="none" w:color="auto" w:sz="0" w:space="0"/>
        </w:rPr>
        <w:t>Обсуждение вариантов решения проблемы</w:t>
      </w: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 и выбор наиболее целесообразного пути её решения.</w:t>
      </w:r>
    </w:p>
    <w:p w14:paraId="5086A0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sz w:val="19"/>
          <w:szCs w:val="19"/>
          <w:bdr w:val="none" w:color="auto" w:sz="0" w:space="0"/>
        </w:rPr>
        <w:t>Оказание первичной помощи</w:t>
      </w: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 на этапе реализации плана решения.</w:t>
      </w:r>
    </w:p>
    <w:p w14:paraId="4114D7CF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kern w:val="0"/>
          <w:sz w:val="19"/>
          <w:szCs w:val="19"/>
          <w:lang w:val="en-US" w:eastAsia="zh-CN" w:bidi="ar"/>
        </w:rPr>
        <w:t> </w:t>
      </w:r>
    </w:p>
    <w:p w14:paraId="2ED28E8C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kern w:val="0"/>
          <w:sz w:val="19"/>
          <w:szCs w:val="19"/>
          <w:lang w:val="en-US" w:eastAsia="zh-CN" w:bidi="ar"/>
        </w:rPr>
        <w:t>Некоторые формы методического сопровождения:</w:t>
      </w:r>
    </w:p>
    <w:p w14:paraId="5F2A13F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sz w:val="19"/>
          <w:szCs w:val="19"/>
          <w:bdr w:val="none" w:color="auto" w:sz="0" w:space="0"/>
        </w:rPr>
        <w:t>Организация методической поддержки</w:t>
      </w: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. Это может быть консультирование, тьюторство, помощь в работе творческих групп, общешкольные семинары, педагогические советы.</w:t>
      </w:r>
    </w:p>
    <w:p w14:paraId="7C459BC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sz w:val="19"/>
          <w:szCs w:val="19"/>
          <w:bdr w:val="none" w:color="auto" w:sz="0" w:space="0"/>
        </w:rPr>
        <w:t>Создание организационных и методических условий</w:t>
      </w: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 для участия педагогов в различных мероприятиях: курсы, конференции, методические объединения, круглые столы, семинары-практикумы и т. д..</w:t>
      </w:r>
    </w:p>
    <w:p w14:paraId="7E76256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sz w:val="19"/>
          <w:szCs w:val="19"/>
          <w:bdr w:val="none" w:color="auto" w:sz="0" w:space="0"/>
        </w:rPr>
        <w:t>Информационная поддержка</w:t>
      </w: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 участия педагогов в различных педагогических мероприятиях (конференции, мастер-классы, конкурсы профессионального мастерства) по представлению, обобщению своего опыта.</w:t>
      </w:r>
    </w:p>
    <w:p w14:paraId="46CA13E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sz w:val="19"/>
          <w:szCs w:val="19"/>
          <w:bdr w:val="none" w:color="auto" w:sz="0" w:space="0"/>
        </w:rPr>
        <w:t>Работа с тренерско-преподавательским составом</w:t>
      </w: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 по оформлению «Портфолио тренера». Такая работа представляет панораму передового опыта и позволяет педагогическому коллективу лучше узнать своих коллег, получить позитивную, доброжелательную оценку своей деятельности.</w:t>
      </w:r>
    </w:p>
    <w:p w14:paraId="32BE888D">
      <w:pPr>
        <w:keepNext w:val="0"/>
        <w:keepLines w:val="0"/>
        <w:widowControl/>
        <w:suppressLineNumbers w:val="0"/>
        <w:spacing w:before="0" w:beforeAutospacing="0" w:after="96" w:afterAutospacing="0" w:line="264" w:lineRule="atLeast"/>
        <w:jc w:val="left"/>
        <w:rPr>
          <w:rFonts w:hint="default" w:ascii="Arial" w:hAnsi="Arial" w:eastAsia="Arial" w:cs="Arial"/>
          <w:sz w:val="19"/>
          <w:szCs w:val="19"/>
        </w:rPr>
      </w:pPr>
      <w:r>
        <w:rPr>
          <w:rStyle w:val="6"/>
          <w:rFonts w:hint="default" w:ascii="Arial" w:hAnsi="Arial" w:eastAsia="Arial" w:cs="Arial"/>
          <w:kern w:val="0"/>
          <w:sz w:val="19"/>
          <w:szCs w:val="19"/>
          <w:lang w:val="en-US" w:eastAsia="zh-CN" w:bidi="ar"/>
        </w:rPr>
        <w:t>Некоторые задачи методического сопровождения:</w:t>
      </w:r>
    </w:p>
    <w:p w14:paraId="26FB79E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обеспечение высокого методического уровня проведения учебно-тренировочных занятий, физкультурно-оздоровительных мероприятий с использованием электронного обучения и дистанционных образовательных технологий;</w:t>
      </w:r>
    </w:p>
    <w:p w14:paraId="3C3F100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повышение профессиональной и педагогической компетентности кадров;</w:t>
      </w:r>
    </w:p>
    <w:p w14:paraId="78320D1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обновление и повышение качества программно-методического обеспечения;</w:t>
      </w:r>
    </w:p>
    <w:p w14:paraId="785EAEE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изучение и оценка результативности деятельности образовательных программ и корректировка программ в условиях использования ДОТ и электронного обучения;</w:t>
      </w:r>
    </w:p>
    <w:p w14:paraId="6FF063A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профессиональное становление молодых тренеров-преподавателей;</w:t>
      </w:r>
    </w:p>
    <w:p w14:paraId="11A1B94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sz w:val="19"/>
          <w:szCs w:val="19"/>
          <w:bdr w:val="none" w:color="auto" w:sz="0" w:space="0"/>
        </w:rPr>
        <w:t>выявление, обобщение и распространение положительного педагогического опыта творчески работающих тренеров-преподавателей.</w:t>
      </w:r>
    </w:p>
    <w:p w14:paraId="6B364274">
      <w:pPr>
        <w:pStyle w:val="2"/>
        <w:keepNext w:val="0"/>
        <w:keepLines w:val="0"/>
        <w:widowControl/>
        <w:suppressLineNumbers w:val="0"/>
        <w:spacing w:before="0" w:beforeAutospacing="0" w:after="48" w:afterAutospacing="0" w:line="264" w:lineRule="atLeast"/>
        <w:ind w:left="0" w:right="0"/>
        <w:jc w:val="left"/>
        <w:rPr>
          <w:rFonts w:hint="default" w:ascii="Arial" w:hAnsi="Arial" w:eastAsia="Arial" w:cs="Arial"/>
          <w:b/>
          <w:bCs/>
          <w:color w:val="333333"/>
          <w:sz w:val="19"/>
          <w:szCs w:val="19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19"/>
          <w:szCs w:val="19"/>
        </w:rPr>
        <w:t>Кому подойдет онлайн-система школьного образования</w:t>
      </w:r>
    </w:p>
    <w:p w14:paraId="0B7B2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192" w:lineRule="atLeast"/>
        <w:ind w:left="0" w:right="72" w:firstLine="0"/>
        <w:jc w:val="left"/>
        <w:textAlignment w:val="top"/>
        <w:rPr>
          <w:rFonts w:hint="default" w:ascii="Arial" w:hAnsi="Arial" w:eastAsia="Arial" w:cs="Arial"/>
          <w:color w:val="333333"/>
          <w:spacing w:val="0"/>
          <w:sz w:val="14"/>
          <w:szCs w:val="14"/>
        </w:rPr>
      </w:pPr>
      <w:r>
        <w:rPr>
          <w:rFonts w:hint="default" w:ascii="Arial" w:hAnsi="Arial" w:eastAsia="Arial" w:cs="Arial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  <w:t>В статье — примеры, когда традиционную школу можно сменить на дистанционную учебу </w:t>
      </w:r>
      <w:bookmarkStart w:id="0" w:name="_GoBack"/>
      <w:bookmarkEnd w:id="0"/>
    </w:p>
    <w:p w14:paraId="5942598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B345E"/>
    <w:multiLevelType w:val="multilevel"/>
    <w:tmpl w:val="A52B34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D445680"/>
    <w:multiLevelType w:val="multilevel"/>
    <w:tmpl w:val="4D4456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6FDC2EB"/>
    <w:multiLevelType w:val="multilevel"/>
    <w:tmpl w:val="56FDC2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2025-10-24T19:39:11Z</dcterms:created>
  <dc:creator>Admin</dc:creator>
  <cp:lastModifiedBy>Admin</cp:lastModifiedBy>
  <dcterms:modified xsi:type="dcterms:W3CDTF">2025-10-24T19:39:34Z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6482808A97934013A8D3428D181CB0AF_12</vt:lpwstr>
  </property>
</Properties>
</file>