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color w:val="000000"/>
          <w:spacing w:val="-10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000000"/>
          <w:spacing w:val="-10"/>
          <w:sz w:val="40"/>
          <w:szCs w:val="40"/>
        </w:rPr>
        <w:t xml:space="preserve">Доклад</w:t>
      </w:r>
      <w:r>
        <w:rPr>
          <w:rFonts w:ascii="Times New Roman" w:hAnsi="Times New Roman" w:cs="Times New Roman"/>
          <w:b/>
          <w:bCs/>
          <w:color w:val="000000"/>
          <w:spacing w:val="-10"/>
          <w:sz w:val="40"/>
          <w:szCs w:val="40"/>
          <w:highlight w:val="none"/>
        </w:rPr>
      </w:r>
    </w:p>
    <w:p>
      <w:pPr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  <w:t xml:space="preserve">«</w:t>
      </w:r>
      <w:r>
        <w:rPr>
          <w:rFonts w:ascii="Times New Roman" w:hAnsi="Times New Roman" w:cs="Times New Roman"/>
          <w:b/>
          <w:sz w:val="32"/>
          <w:szCs w:val="32"/>
        </w:rPr>
        <w:t xml:space="preserve">Система коррекционно-логопедического воздействия по преодолению общего недоразвития речи у дошкольников с синдромом дефицита внимания и </w:t>
      </w:r>
      <w:r>
        <w:rPr>
          <w:rFonts w:ascii="Times New Roman" w:hAnsi="Times New Roman" w:cs="Times New Roman"/>
          <w:b/>
          <w:sz w:val="32"/>
          <w:szCs w:val="32"/>
        </w:rPr>
        <w:t xml:space="preserve">гиперактивностью</w:t>
      </w:r>
      <w:r>
        <w:rPr>
          <w:rFonts w:ascii="Times New Roman" w:hAnsi="Times New Roman" w:cs="Times New Roman"/>
          <w:b/>
          <w:sz w:val="32"/>
          <w:szCs w:val="32"/>
        </w:rPr>
        <w:t xml:space="preserve"> (СДВГ)</w:t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  <w:t xml:space="preserve">».</w:t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Система коррекционно-логопедического воздействия по преодолению общего недоразвития речи у дошкольников с синдромом дефицита внимания и </w:t>
      </w:r>
      <w:r>
        <w:rPr>
          <w:rFonts w:ascii="Times New Roman" w:hAnsi="Times New Roman" w:cs="Times New Roman"/>
          <w:b/>
          <w:sz w:val="36"/>
          <w:szCs w:val="36"/>
        </w:rPr>
        <w:t xml:space="preserve">гиперактивностью</w:t>
      </w:r>
      <w:r>
        <w:rPr>
          <w:rFonts w:ascii="Times New Roman" w:hAnsi="Times New Roman" w:cs="Times New Roman"/>
          <w:b/>
          <w:sz w:val="36"/>
          <w:szCs w:val="36"/>
        </w:rPr>
        <w:t xml:space="preserve"> (СДВГ).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</w:t>
      </w:r>
      <w:r>
        <w:rPr>
          <w:rFonts w:ascii="Times New Roman" w:hAnsi="Times New Roman" w:cs="Times New Roman"/>
          <w:sz w:val="28"/>
          <w:szCs w:val="28"/>
        </w:rPr>
        <w:t xml:space="preserve">и, в последнее время не только увеличилось количество детей с нарушениями речи, но меняется и характер речевых патологий. Большинство речевых проблем имеют нейропсихологическую основу. К категории таких нарушений, как указывают А.Л. Сиротюк, Ю.С.Шевченко, </w:t>
      </w:r>
      <w:r>
        <w:rPr>
          <w:rFonts w:ascii="Times New Roman" w:hAnsi="Times New Roman" w:cs="Times New Roman"/>
          <w:sz w:val="28"/>
          <w:szCs w:val="28"/>
        </w:rPr>
        <w:t xml:space="preserve">Н.Н.Заваденко</w:t>
      </w:r>
      <w:r>
        <w:rPr>
          <w:rFonts w:ascii="Times New Roman" w:hAnsi="Times New Roman" w:cs="Times New Roman"/>
          <w:sz w:val="28"/>
          <w:szCs w:val="28"/>
        </w:rPr>
        <w:t xml:space="preserve">, относится синдром нарушения внимания с </w:t>
      </w:r>
      <w:r>
        <w:rPr>
          <w:rFonts w:ascii="Times New Roman" w:hAnsi="Times New Roman" w:cs="Times New Roman"/>
          <w:sz w:val="28"/>
          <w:szCs w:val="28"/>
        </w:rPr>
        <w:t xml:space="preserve">гиперактивностью</w:t>
      </w:r>
      <w:r>
        <w:rPr>
          <w:rFonts w:ascii="Times New Roman" w:hAnsi="Times New Roman" w:cs="Times New Roman"/>
          <w:sz w:val="28"/>
          <w:szCs w:val="28"/>
        </w:rPr>
        <w:t xml:space="preserve"> (СДВГ).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Синдром дефицита внимания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это нейробиологическое (связанное с нарушениями в работе некоторых структур и систем головного мозга) состояние, характеризующееся неадекватными для этого возраста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уровнями внимательности;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(чрезмерной активности);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импульсивности (несдержанности).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Специалисты признают 3 типа СДВГ: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Существует тип с преобладанием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/импульсивности (при этом признаки невнимательности незначительны);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Тип с преобладанием дефицита внимания (признаки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/импульсивности незначительны);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Смешанный тип (при котором проявляются и симптомы дефицита внимания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/импульсивности).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этой классификации диагностическими критериями СДВГ являются особенности поведения, 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появляются до 8 лет;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обнаруживаются,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меньшей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двух сферах деятельности (в школе, дома, в труде, в играх);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обусловлены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психотическими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тревожными, аффективными,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диссоциативными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расстройствами;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вызывают значительный психологический дискомфорт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дезадаптацию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с синдромом дефицита внимания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(СДВГ) нередко встречаются в практике логопедической работы.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указывает Л.О.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Бадалян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4–10% детей школьного и дошкольного возраста страдают данным расстройством. Чаще его выявляют у мальчиков.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Уже на первых занятиях дети с СДВГ с трудом подчиняются инструкции, не могут сосредоточиться на задании и до конца выполнить его, постоянно совершают нецеленаправленные движения, импульсивны, зачастую эмоционально неустойчивы.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Причины 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расстройства чаще всего проявляются при минимальных мозговых дисфункциях как следствие ранних локальных повреждений головного мозга. В отдельных случаях возможно наследственное (генетическое) происхождение СДВГ. Клинико-возрастные особенности данного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синдрома могут проявляться уже с первых месяцев жизни в виде нарушений сна, беспричинного плача, отказа от груди, склонности к жидкому стулу вследствие повышенной возбудимости кишечной стенки. С каждым годом признаки СДВГ у ребенка становятся все заметнее.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данным О.В.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Халецкой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В.М. Трошина, полная картина синдрома разворачивается к 7–12 годам. Практика показывает, что родители не всегда осознают глубину проблемы, особенно в дошкольном возрасте, считая, что ребенок «просто маленький, вот в школу пойдет, тогда...». Но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школьном возрасте проблемы лишь усугубляются. Вследствие плохой концентрации внимания, повышенной отвлекаемости, слабой самоорганизации дети начинают испытывать трудности в процессе обучения, даже имея неплохие способности. Они составляют группу риска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дислексии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дисграфии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т.е. в школьном возрасте у них могут проявиться специфические стойкие затруднения при обучении их чтению и письму.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Выделяют следующие проявления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 детей: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сидеть спокойно, беспокойные движения рук.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Всё время находится в движении, как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заведённый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усидчив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не может высидеть положенное время.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Слишком много бегает, ползает,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залезает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куда не положено.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играть в спокойные игры.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Выкрикивает ответы до того, как целиком услышит вопрос.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Избыточно общителен, болтлив.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Перебивает, вмешивается в разговоры, в игры.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трудом стоит в очереди или дожидается своей очереди в игре.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Невнимательным детям тяжело сосредоточится на чём-то одном, задание может их утомлять уже через несколько минут после его начала.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они заняты чем-то действительно им нравящимся, у них нет проблем с концентрацией внимания. Но специально, сознательно сосредоточить внимание на организации и выполнении задания, на изучении чего-то нового – это им тяжело.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Выполнение домашнего задания особенно тру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дно для этих детей. Они забывают записать его или оставляют его в школе. Забывают принести учебник или приносят не тот. Если всё-таки домашняя работа выполнена, она полна ошибок и помарок. Домашняя работа часто вызывает отчаяние и у ребёнка, и у родителей.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Признаки нарушения внимания у детей: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сосредоточить внимание на деталях, делают ошибки из-за своей беспечности в школе и дома.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удерживать внимание в течение достаточно длительного времени, даже когда играет или чем-то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увлечён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Создаётся впечатление, что не слушает, когда с ним разговаривают.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довести выполнение задания до конца (в школе и дома) даже если понимает необходимость этого.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самостоятельно организовать свою работу.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Старается избегать заданий связанных с длительной умственной работой.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Забывают или теряют такие вещи, как маленькие игрушки, карандаши, книжки, инструменты, необходимые для выполнений заданий.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Часто мечутся от одного незаконченного дела к другому, отвлекается от начатого занятия.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5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Забывают выполнять регулярные требования.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 основные нарушения поведения сопровождаются серьезными вторичными нарушениями, к числу которых, прежде всего, относятся слабая успеваемость в школе и затруднения в общении с другими людьми.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Низкая успеваемость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типичное явление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детей. Она обусловлена особенностями их поведения, которое не соответствует возрастной норме и является серьезным препятствием для полноценного включения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ебенка в учебную деятельность. Во время урока этим детям сложно справляться с заданиями, так как они испытывают трудности в организации и завершении работы, быстро выключаются из процесса выполнения задания. Навыки чтения и письма у этих детей значительно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ниже, чем у сверстников. Их письменные работы выглядят неряшливо и отличаются ошибками, которые являются результатом невнимательности, невыполнения указаний учителя или угадывания. При этом дети не склонны прислушиваться к советам и рекомендациям взрослых.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Коррекция СДВГ должна включать комплекс методик, т.е. быть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мультимодальной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 Основными направлениями являются: психолого-педагогическая коррекция, семейная психотерапия, поведенческая терапия, релаксационные методики.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Коррекционная работа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ребенком на логопедических занятиях должна быть направлена на решение следующей задачи: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адаптировать двигательную активность детей, как вспомогательную основу к решению задач коррекции речи и внимания на занятиях.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Правила работы с детьми, имеющими СДВГ: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Работать с ребенком в начале дня, а не вечером.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Уменьшить рабочую нагрузку на ребенка.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Делить работу на короткие, но частые периоды. Использовать физкультминутки.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 драматичным, экспрессивным педагогом.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Снизить требования к аккуратности в начале работы, чтобы сформировать чувство успеха.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Посадить ребенка во время занятий рядом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взрослым.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 тактильный контакт (элементы массажа, прикосновения, поглаживания).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Договариваться с ребёнком о тех или иных действиях заранее.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Давать короткие, четкие и конкретные инструкции.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 гибкую систему поощрений и наказаний.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Поощрять ребёнка сразу же, не откладывая на будущее.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Предоставить ребёнку свободу выбора.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6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Оставаться спокойным. Нет хладнокровия – нет преимущества!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Технологии коррекции СДВГ на занятиях по логопедии: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приёмам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саморегуляции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через использование релаксаций, визуализаций.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самомассажу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для развития быстроты реакции, координации движений.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для развития тактильного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Пальчиковые игры.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7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Психогимнастические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этюды для обучения пониманию и выражению эмоционального состояния.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Ребенок с СДВГ постоянно испытывает непреодолимую потребность в дви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жении, что крайне осложняет работу педагога. Предъявление дисциплинарных требований по отношению к нему не эффективно, а часто и бессмысленно. Важно организовать занятие так, чтобы ребенок меньше находился в статичной позе, которая способствует нарастанию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чаще давать ему двигательную разрядку. Однако движения не должны стать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дезорганизующим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фактором. Их осмысленный характер служит целям коррекционно-развивающего обучения – совершенствованию мелкой моторики, обучени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 выделять слова в предложении, развитию слуховой и двигательной памяти и т.д. Возможность расходования избыточной энергии позволяет улучшить концентрацию и устойчивость внимания, повышает интерес к занятиям, делает их более организованными и эффективными.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Повсеместно в педагогической практике используются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изкультминутки, но для ребенка с СДВГ их явно недостаточно. На своих занятиях я даю задания, где нужно не только говорить, но и действовать. Например, работая над звукопроизношением, можно использовать упражнения на автоматизацию с двигательными заданиями.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Варианты заданий при работе над звукопроизношением на этапе отработки изолированных звуков: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8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расправив 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«крылья», «летать на самолете» по комнате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р-р-р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8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«ездить» на маленькой игрушечной машине по ломанным, спиралевидным или извилистым дорожкам разной длины, нарисованным на листе бумаги, имитируя звук мотора: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р-р-р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Варианты заданий при автоматизации звуков на уровне слога: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9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запоминание и повторение слоговых рядов в сочетании с движениями рук, туловища: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ша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(руки вперед)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шо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(руки вверх)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ш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руки опустить);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9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«игра на пианино» (используется картонный муляж клавиатуры). «Нажимать на клавиши» поочередно всеми пальцами правой (левой) руки и петь: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су-сы-са-со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предложить сделать «песенку» грустной или веселой, громкой или тихой.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Варианты заданий при автоматизации звуков в словах: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0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с перебрасыванием (перекатыванием) друг другу мяча («Скажи наоборот», «Сложи слово», «Вставь пропущенный звук», «Назови детеныша»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0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Шаги»: сделать шаг вперед только при успешном выполнении задания (правильно повторить слово вслед за логопедом, назвать лишнее слово и т.д.). При ошибочном ответе – шаг назад. Игра заканчивается, когда ребенок сможет дойти до заранее оговоренного предмета.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Варианты заданий при работе на уровне предложения: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«Живые слова»: каждый ребенок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выполняет 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определенного слова, его задача – занять свое место в предложении;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«Скажи и покажи»: составить предложение по сюжетной картинке, а затем продемонстрировать его с помощью пантомимы («Сова летает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лесу.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Соня пьет ананасовый 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Возможен вариант, когда сначала составляются все предложения, затем один из детей демонстрирует пантомиму, а другой угадывает ее содержание;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1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«Прошагай предложение» ребенок идет и произносит предложение, каждому шагу должно соответствовать одно слово.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организации занятий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гиперактивными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детьми логопед может использовать специально разработанные коррекционно-развивающие программы.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before="96" w:after="96" w:line="204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Коррекционно-развивающие игры и упражнения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Структура занятий.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Растяжка (4 – 5 минут).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Дыхательные упражнения (3 – 4 минуты).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Глазодвигательные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упражнения (3 – 4 минуты).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Упражнения для развития мелкой моторики рук (10 минут).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Функциональные упражнения (развитие внимания, произвольности, самоконтроля). Коммуникативные и когнитивные упражнения, элиминация гнева и агрессии (20 – 25 минут).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2"/>
        </w:numPr>
        <w:ind w:left="300"/>
        <w:spacing w:before="100" w:beforeAutospacing="1" w:after="100" w:afterAutospacing="1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Релаксация (4 – 5 минут).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Растяжка "Половинка".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 Ребенку предлагается поочередно напрягать левую и правую половины тела, затем верхнюю и нижнюю половины тела.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Дыхательное упражнение.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 Глубокий вдох, руки медленно поднять до уровня груди. Задержать дыхание, внимание сконцентрировать на середине ладоней. Медленно выдохнуть, руки опустить вдоль тела.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Глазодвигательное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упражнение.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 Голова фиксирована. Глаза смотрят прямо перед собой. Продолжается отработка движений глаз по четырем основным (вверх, вниз, направо, налево) и четырем вспомогательным направлениям (по диагоналям); сведение глаз к центру.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4. Упражнения для развития мелкой моторики рук.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Упражнение "Змейки".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Предложите ребенку представить, что его пальцы – это маленькие змейки. Они могут двигаться-извиваться, вращаясь направо,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алево, снизу вверх и сверху вниз. При двуручном выполнении ладони сначала "смотрят" от ребенка, потом – друг на друга. При этом сначала прорабатываются одноименные пальцы рук, а затем разноименные (например, большой палец правой руки и мизинец левой руки).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Упражнение "Кулак-ребро-ладонь".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Ребенку показывают три положения руки на плоскости пола, последовательно сменяющих друг друга. Ладонь на плоскости,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ладонь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сжатая в кулак, ладонь ребром на плоскости пола, распрямленная ладонь на плоскости пола. Ребенок выполняет пробу вместе с инструктором, затем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памяти в течение 8-10 повторений моторной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граммы. Проба выполняется сначала правой рукой, потом левой, затем двумя руками вместе. При усвоении программы или при затруднениях в выполнении инструктор предлагает ребенку помогать себе командами ("кулак-ребро-ладонь"), произносимыми вслух или про себя.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Упражнение "Лезгинка".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Ребенок складывает левую руку в кулак, большой палец отставляет в сторону, кулак 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Упражнение "Ухо-нос".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Левой рукой взяться за кончик носа, а правой – за противоположное ухо. Одновременно отпустить ухо и нос, хлопнуть в ладоши, поменять положение рук "с точностью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наоборот".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5. Когнитивное упражнение "Ритм".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ритмирование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правого полушария.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сидя на полу. Инструктор задает ритм, отстукивая его одной рукой, например, "2-2-3" (в начале освоения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дается зрительное подкрепление – дети видят руки инструктора, а в процессе освоения происходит постепенный переход только к слуховому восприятию, т.е. с закрытыми глазами). Затем детям предлагается повторить ритмический рисунок правой рукой, левой рукой,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двумя руками одновременно (хлопки или удары перед собой) комбинированно (например, 2 – правой рукой, 2 – левой рукой, 3 – одновременно двумя руками). После освоения первой части упражнения детям предлагается воспроизвести тот же ритмический рисунок ногами.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6. Коммуникативное упражнение "Маска".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эмоциональное развитие.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садятся в круг. Первый участник упражнения фиксирует на своем лице какое-нибудь выражение (маску), демонстрирует его всем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тям и "передает" соседу справа (слева). Сосед должен в точности повторить это выражение, поменять на новое и "передать" следующему участнику упражнения. Так же делают все остальные. Выражение лица может быть страшным, смешным, комическим, угрожающим и т.д.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7. Функциональное упражнение "Руки-ноги".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концентрации внимания и двигательного контроля, элиминация импульсивности, развитие навыков удержания программы.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И.п. – стоя. Прыжки на месте с одновременными движениями руками и ногами.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Ноги вместе – руки врозь.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Ноги врозь – руки вместе.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Ноги вместе – руки вместе.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Ноги врозь – руки врозь.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Цикл прыжков повторить несколько раз.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8. Релаксация "Загораем".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расслабление мышц ног.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Инструктор: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"Представьте себе, что ноги загорают на солнышке (вытянуть ноги вперед, сидя на полу). Поднимите ноги, держите на весу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Ноги напряглись (можно предложить ребенку самому потрогать, какими твердыми стали его мышцы). Напряженные ноги стали твердыми, каменными. Опустите ноги. Они устали, а теперь отдыхают, расслабляются. Как хорошо, приятно стало. Вдох – пауза, выдох – пауза.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прекрасно загораем!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Выше ноги поднимаем!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Держим... Держим... Напрягаем...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Загораем! Опускаем (ноги резко опустить на пол).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Ноги не напряжены, расслаблены".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96" w:line="192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 и другие задания могут быть применены и в других разделах логопедической работы. Таким образом, логопед не только повышает эффективность и качество своей работы, но и активно участвует в комплексной коррекции СДВГ.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52"/>
        <w:spacing w:before="0" w:beforeAutospacing="0" w:after="0" w:afterAutospacing="0"/>
        <w:rPr>
          <w:sz w:val="28"/>
          <w:szCs w:val="28"/>
        </w:rPr>
      </w:pPr>
      <w:r>
        <w:rPr>
          <w:rStyle w:val="653"/>
          <w:sz w:val="28"/>
          <w:szCs w:val="28"/>
        </w:rPr>
        <w:t xml:space="preserve">При работе с </w:t>
      </w:r>
      <w:r>
        <w:rPr>
          <w:rStyle w:val="653"/>
          <w:sz w:val="28"/>
          <w:szCs w:val="28"/>
        </w:rPr>
        <w:t xml:space="preserve">гиперактивными</w:t>
      </w:r>
      <w:r>
        <w:rPr>
          <w:rStyle w:val="653"/>
          <w:sz w:val="28"/>
          <w:szCs w:val="28"/>
        </w:rPr>
        <w:t xml:space="preserve"> детьми, нам нужен устойчивый положительный результат! Ведь его успех - это и наш успех тоже! Его работа - и наша работа, его чистая, правильная речь - и наша заслуга и огромное удовольствие от своей нелегкой, но такой нужной работы!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Литература: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Гончаренко Е. Б. Преодоление синдрома дефицита внимания у детей с </w:t>
      </w:r>
      <w:r>
        <w:rPr>
          <w:rFonts w:ascii="Times New Roman" w:hAnsi="Times New Roman" w:cs="Times New Roman"/>
          <w:sz w:val="28"/>
          <w:szCs w:val="28"/>
        </w:rPr>
        <w:t xml:space="preserve">гиперактивностью</w:t>
      </w:r>
      <w:r>
        <w:rPr>
          <w:rFonts w:ascii="Times New Roman" w:hAnsi="Times New Roman" w:cs="Times New Roman"/>
          <w:sz w:val="28"/>
          <w:szCs w:val="28"/>
        </w:rPr>
        <w:t xml:space="preserve"> // Логопед .-2009.-№4.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Сиротюк А.Л. Программа нейропсихологического развития и коррекции детей с синдромом дефицита внимания и </w:t>
      </w:r>
      <w:r>
        <w:rPr>
          <w:rFonts w:ascii="Times New Roman" w:hAnsi="Times New Roman" w:cs="Times New Roman"/>
          <w:sz w:val="28"/>
          <w:szCs w:val="28"/>
        </w:rPr>
        <w:t xml:space="preserve">гиперактивности</w:t>
      </w:r>
      <w:r>
        <w:rPr>
          <w:rFonts w:ascii="Times New Roman" w:hAnsi="Times New Roman" w:cs="Times New Roman"/>
          <w:sz w:val="28"/>
          <w:szCs w:val="28"/>
        </w:rPr>
        <w:t xml:space="preserve">.- М., 2006.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Сиротюк А.Л. Детская </w:t>
      </w:r>
      <w:r>
        <w:rPr>
          <w:rFonts w:ascii="Times New Roman" w:hAnsi="Times New Roman" w:cs="Times New Roman"/>
          <w:sz w:val="28"/>
          <w:szCs w:val="28"/>
        </w:rPr>
        <w:t xml:space="preserve">гиперактивность</w:t>
      </w:r>
      <w:r>
        <w:rPr>
          <w:rFonts w:ascii="Times New Roman" w:hAnsi="Times New Roman" w:cs="Times New Roman"/>
          <w:sz w:val="28"/>
          <w:szCs w:val="28"/>
        </w:rPr>
        <w:t xml:space="preserve">: причины, рекомендации // Дошкольное воспитание.-2007.-№8.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Халецкая</w:t>
      </w:r>
      <w:r>
        <w:rPr>
          <w:rFonts w:ascii="Times New Roman" w:hAnsi="Times New Roman" w:cs="Times New Roman"/>
          <w:sz w:val="28"/>
          <w:szCs w:val="28"/>
        </w:rPr>
        <w:t xml:space="preserve"> О.В., </w:t>
      </w:r>
      <w:r>
        <w:rPr>
          <w:rFonts w:ascii="Times New Roman" w:hAnsi="Times New Roman" w:cs="Times New Roman"/>
          <w:sz w:val="28"/>
          <w:szCs w:val="28"/>
        </w:rPr>
        <w:t xml:space="preserve">Трошин</w:t>
      </w:r>
      <w:r>
        <w:rPr>
          <w:rFonts w:ascii="Times New Roman" w:hAnsi="Times New Roman" w:cs="Times New Roman"/>
          <w:sz w:val="28"/>
          <w:szCs w:val="28"/>
        </w:rPr>
        <w:t xml:space="preserve"> В.М. Минимальные мозговые дисфункции в детском возрасте.- Н. Новгород, 1995.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Чутко Л.C., Пальчик А.Б., </w:t>
      </w:r>
      <w:r>
        <w:rPr>
          <w:rFonts w:ascii="Times New Roman" w:hAnsi="Times New Roman" w:cs="Times New Roman"/>
          <w:sz w:val="28"/>
          <w:szCs w:val="28"/>
        </w:rPr>
        <w:t xml:space="preserve">Кропотнов</w:t>
      </w:r>
      <w:r>
        <w:rPr>
          <w:rFonts w:ascii="Times New Roman" w:hAnsi="Times New Roman" w:cs="Times New Roman"/>
          <w:sz w:val="28"/>
          <w:szCs w:val="28"/>
        </w:rPr>
        <w:t xml:space="preserve"> Ю.Д. Синдром нарушения внимания с </w:t>
      </w:r>
      <w:r>
        <w:rPr>
          <w:rFonts w:ascii="Times New Roman" w:hAnsi="Times New Roman" w:cs="Times New Roman"/>
          <w:sz w:val="28"/>
          <w:szCs w:val="28"/>
        </w:rPr>
        <w:t xml:space="preserve">гиперактивность</w:t>
      </w:r>
      <w:r>
        <w:rPr>
          <w:rFonts w:ascii="Times New Roman" w:hAnsi="Times New Roman" w:cs="Times New Roman"/>
          <w:sz w:val="28"/>
          <w:szCs w:val="28"/>
        </w:rPr>
        <w:t xml:space="preserve"> у детей и подростков.- СПб.,2004.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paragraph" w:styleId="642">
    <w:name w:val="Heading 2"/>
    <w:basedOn w:val="641"/>
    <w:next w:val="641"/>
    <w:link w:val="654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3">
    <w:name w:val="Heading 3"/>
    <w:basedOn w:val="641"/>
    <w:link w:val="64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3 Знак"/>
    <w:basedOn w:val="644"/>
    <w:link w:val="64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48">
    <w:name w:val="Normal (Web)"/>
    <w:basedOn w:val="64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>
    <w:name w:val="Strong"/>
    <w:basedOn w:val="644"/>
    <w:uiPriority w:val="22"/>
    <w:qFormat/>
    <w:rPr>
      <w:b/>
      <w:bCs/>
    </w:rPr>
  </w:style>
  <w:style w:type="character" w:styleId="650" w:customStyle="1">
    <w:name w:val="apple-converted-space"/>
    <w:basedOn w:val="644"/>
  </w:style>
  <w:style w:type="character" w:styleId="651">
    <w:name w:val="Emphasis"/>
    <w:basedOn w:val="644"/>
    <w:uiPriority w:val="20"/>
    <w:qFormat/>
    <w:rPr>
      <w:i/>
      <w:iCs/>
    </w:rPr>
  </w:style>
  <w:style w:type="paragraph" w:styleId="652" w:customStyle="1">
    <w:name w:val="c3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3" w:customStyle="1">
    <w:name w:val="c8"/>
    <w:basedOn w:val="644"/>
  </w:style>
  <w:style w:type="character" w:styleId="654" w:customStyle="1">
    <w:name w:val="Заголовок 2 Знак"/>
    <w:basedOn w:val="644"/>
    <w:link w:val="64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Кочедыкова</cp:lastModifiedBy>
  <cp:revision>8</cp:revision>
  <dcterms:created xsi:type="dcterms:W3CDTF">2015-11-05T18:28:00Z</dcterms:created>
  <dcterms:modified xsi:type="dcterms:W3CDTF">2025-01-16T18:51:57Z</dcterms:modified>
</cp:coreProperties>
</file>