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709"/>
        <w:jc w:val="center"/>
        <w:rPr>
          <w:rFonts w:ascii="Times New Roman" w:hAnsi="Times New Roman" w:cs="Times New Roman" w:eastAsia="Times New Roman"/>
          <w:b/>
          <w:color w:val="002060"/>
          <w:spacing w:val="0"/>
          <w:position w:val="0"/>
          <w:sz w:val="20"/>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709"/>
        <w:jc w:val="center"/>
        <w:rPr>
          <w:rFonts w:ascii="Times New Roman" w:hAnsi="Times New Roman" w:cs="Times New Roman" w:eastAsia="Times New Roman"/>
          <w:b/>
          <w:color w:val="002060"/>
          <w:spacing w:val="0"/>
          <w:position w:val="0"/>
          <w:sz w:val="20"/>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709"/>
        <w:jc w:val="center"/>
        <w:rPr>
          <w:rFonts w:ascii="Times New Roman" w:hAnsi="Times New Roman" w:cs="Times New Roman" w:eastAsia="Times New Roman"/>
          <w:b/>
          <w:color w:val="002060"/>
          <w:spacing w:val="0"/>
          <w:position w:val="0"/>
          <w:sz w:val="20"/>
          <w:shd w:fill="auto" w:val="clear"/>
        </w:rPr>
      </w:pPr>
    </w:p>
    <w:p>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line="240"/>
        <w:ind w:right="0" w:left="0" w:firstLine="709"/>
        <w:jc w:val="center"/>
        <w:rPr>
          <w:rFonts w:ascii="Times New Roman" w:hAnsi="Times New Roman" w:cs="Times New Roman" w:eastAsia="Times New Roman"/>
          <w:b/>
          <w:color w:val="002060"/>
          <w:spacing w:val="0"/>
          <w:position w:val="0"/>
          <w:sz w:val="20"/>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Значение туристско-краеведческой деятельности при подготовке к сдаче норм ВФСК ГТО</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709"/>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709"/>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Туристический поход – это прежде всего удовольствие от контакта с природой и друзьями. С точки зрения педагогики – это инклюзивное обучение, активный воспитательный процесс и проверка полученных ранее знаний и умений.</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Туристический поход — это тест Всероссийского физкультурно-спортивного комплекса “ГТО” по выбору.</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Если при сдаче комплекса “ГТО” вы решили выполнить норматив по туристическому походу, внимательно ознакомьтесь с нашими рекомендациями. Они разработаны для представителей образовательных организаций с целью оказания помощи в подготовке и организации проведения испытаний (тестов), входящих во Всероссийский физкультурно-спортивный комплекс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Готов к труду и обороне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ГТО)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Поход с проверкой туристских знаний и навыков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соответствии с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Инструкцией по организации и проведению туристских походов, экспедиций и экскурсий (путешествий) с учащимися, воспитанниками и студентами Российской Федерации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утверждена приказом Минобразования РСФСР от 13.07.1992 №293.</w:t>
      </w:r>
    </w:p>
    <w:p>
      <w:pPr>
        <w:spacing w:before="0" w:after="0" w:line="240"/>
        <w:ind w:right="0" w:left="0" w:firstLine="709"/>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Шаг 1. Инициатива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Получить согласие родителей на участие ребенка в походе. Согласовать с родителями отсутствие противопоказаний медицинского характера у ребенка. </w:t>
      </w:r>
      <w:r>
        <w:rPr>
          <w:rFonts w:ascii="Times New Roman" w:hAnsi="Times New Roman" w:cs="Times New Roman" w:eastAsia="Times New Roman"/>
          <w:b/>
          <w:i/>
          <w:color w:val="auto"/>
          <w:spacing w:val="0"/>
          <w:position w:val="0"/>
          <w:sz w:val="28"/>
          <w:shd w:fill="auto" w:val="clear"/>
        </w:rPr>
        <w:t xml:space="preserve">Обязательно получить письменное разрешение врача (допуск).</w:t>
      </w:r>
      <w:r>
        <w:rPr>
          <w:rFonts w:ascii="Times New Roman" w:hAnsi="Times New Roman" w:cs="Times New Roman" w:eastAsia="Times New Roman"/>
          <w:color w:val="auto"/>
          <w:spacing w:val="0"/>
          <w:position w:val="0"/>
          <w:sz w:val="28"/>
          <w:shd w:fill="auto" w:val="clear"/>
        </w:rPr>
        <w:t xml:space="preserve">  Разработать план подготовки и проведения однодневного туристского похода. Готовые маршруты есть в РЦДЮТЭ.</w:t>
      </w:r>
    </w:p>
    <w:p>
      <w:pPr>
        <w:spacing w:before="0" w:after="0" w:line="240"/>
        <w:ind w:right="0" w:left="0" w:firstLine="709"/>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2. Планирование и изучение маршрута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Рассмотреть на общем сборе 3-4 варианта маршрутов. Предпочтение отдается маршрутам, которые предлагаются самими участниками. Подробные нитки маршрута вам помогут разработать в ГБУДОРЦДЮТЭ</w:t>
      </w:r>
    </w:p>
    <w:p>
      <w:pPr>
        <w:spacing w:before="0" w:after="0" w:line="240"/>
        <w:ind w:right="0" w:left="0" w:firstLine="709"/>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3. Распределение ролей и обязанностей в группе</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Примерные должности: командир, ответственный за групповое снаряжение, медик, казначей, картограф, краевед, фотограф и др.</w:t>
      </w:r>
    </w:p>
    <w:p>
      <w:pPr>
        <w:spacing w:before="0" w:after="0" w:line="240"/>
        <w:ind w:right="0" w:left="0" w:firstLine="709"/>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4. Подготовительная работа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Подбор и подготовка группового снаряжения, планирование финансовых расходов, обсуждение и составление меню, составляется список обязательного личного снаряжения, оговаривается питьевой режим. Участники собирают всевозможную информацию: расписание движения транспорта, стоимость проезда, карты местности, описание интересных объектов, которые встретятся на маршруте и т.п.</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5 Подготовка участников похода к проверке</w:t>
      </w:r>
      <w:r>
        <w:rPr>
          <w:rFonts w:ascii="Times New Roman" w:hAnsi="Times New Roman" w:cs="Times New Roman" w:eastAsia="Times New Roman"/>
          <w:color w:val="auto"/>
          <w:spacing w:val="0"/>
          <w:position w:val="0"/>
          <w:sz w:val="28"/>
          <w:shd w:fill="auto" w:val="clear"/>
        </w:rPr>
        <w:t xml:space="preserve"> необходимых знаний и навыков для сдачи норматива ГТО.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6. Инструктаж по технике безопасности</w:t>
      </w:r>
      <w:r>
        <w:rPr>
          <w:rFonts w:ascii="Times New Roman" w:hAnsi="Times New Roman" w:cs="Times New Roman" w:eastAsia="Times New Roman"/>
          <w:color w:val="auto"/>
          <w:spacing w:val="0"/>
          <w:position w:val="0"/>
          <w:sz w:val="28"/>
          <w:shd w:fill="auto" w:val="clear"/>
        </w:rPr>
        <w:t xml:space="preserve"> и оказанию доврачебной помощи в походе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7. Оформление разрешительной документации</w:t>
      </w:r>
      <w:r>
        <w:rPr>
          <w:rFonts w:ascii="Times New Roman" w:hAnsi="Times New Roman" w:cs="Times New Roman" w:eastAsia="Times New Roman"/>
          <w:color w:val="auto"/>
          <w:spacing w:val="0"/>
          <w:position w:val="0"/>
          <w:sz w:val="28"/>
          <w:shd w:fill="auto" w:val="clear"/>
        </w:rPr>
        <w:t xml:space="preserve">, медицинского допуска участников.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Приказ по образовательной организации, список участников с медицинским допуском, маршрутный лист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8. Поход</w:t>
      </w:r>
      <w:r>
        <w:rPr>
          <w:rFonts w:ascii="Times New Roman" w:hAnsi="Times New Roman" w:cs="Times New Roman" w:eastAsia="Times New Roman"/>
          <w:color w:val="auto"/>
          <w:spacing w:val="0"/>
          <w:position w:val="0"/>
          <w:sz w:val="28"/>
          <w:shd w:fill="auto" w:val="clear"/>
        </w:rPr>
        <w:t xml:space="preserve"> с проверкой туристских знаний и навыков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Шаг 9. Подведение итогов</w:t>
      </w:r>
      <w:r>
        <w:rPr>
          <w:rFonts w:ascii="Times New Roman" w:hAnsi="Times New Roman" w:cs="Times New Roman" w:eastAsia="Times New Roman"/>
          <w:color w:val="auto"/>
          <w:spacing w:val="0"/>
          <w:position w:val="0"/>
          <w:sz w:val="28"/>
          <w:shd w:fill="auto" w:val="clear"/>
        </w:rPr>
        <w:t xml:space="preserve">, оформление отчетных материалов.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Все подробные инструкции и рекомендации можно получить в ГБУДОРЦДЮТЭ</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норматив входит пять компонентов: нужно пройти туристский маршрут, правильно уложить рюкзак, развести костёр в походных условиях, быть готовым преодолеть препятствия и ориентироваться на местности с помощью карты и компаса. По каждому из пунктов эксперт ГБУДОРЦДЮТЭ выставляет оценку, совокупность которых и определяет итоговый результат.</w:t>
      </w:r>
    </w:p>
    <w:p>
      <w:pPr>
        <w:numPr>
          <w:ilvl w:val="0"/>
          <w:numId w:val="4"/>
        </w:numPr>
        <w:spacing w:before="0" w:after="0" w:line="240"/>
        <w:ind w:right="0" w:left="1069"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Туристический маршрут </w:t>
      </w:r>
      <w:r>
        <w:rPr>
          <w:rFonts w:ascii="Times New Roman" w:hAnsi="Times New Roman" w:cs="Times New Roman" w:eastAsia="Times New Roman"/>
          <w:color w:val="auto"/>
          <w:spacing w:val="0"/>
          <w:position w:val="0"/>
          <w:sz w:val="28"/>
          <w:shd w:fill="auto" w:val="clear"/>
        </w:rPr>
        <w:t xml:space="preserve">характеризуется только длинной, т.е. является некатегорийным.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Возрастная ступень</w:t>
        <w:tab/>
        <w:t xml:space="preserve">Норматив (расстояние пешего перехода)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III (11—12 </w:t>
      </w:r>
      <w:r>
        <w:rPr>
          <w:rFonts w:ascii="Times New Roman" w:hAnsi="Times New Roman" w:cs="Times New Roman" w:eastAsia="Times New Roman"/>
          <w:color w:val="auto"/>
          <w:spacing w:val="0"/>
          <w:position w:val="0"/>
          <w:sz w:val="28"/>
          <w:shd w:fill="auto" w:val="clear"/>
        </w:rPr>
        <w:t xml:space="preserve">лет)</w:t>
        <w:tab/>
        <w:t xml:space="preserve">5 километров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IV (13—15 </w:t>
      </w:r>
      <w:r>
        <w:rPr>
          <w:rFonts w:ascii="Times New Roman" w:hAnsi="Times New Roman" w:cs="Times New Roman" w:eastAsia="Times New Roman"/>
          <w:color w:val="auto"/>
          <w:spacing w:val="0"/>
          <w:position w:val="0"/>
          <w:sz w:val="28"/>
          <w:shd w:fill="auto" w:val="clear"/>
        </w:rPr>
        <w:t xml:space="preserve">лет)</w:t>
        <w:tab/>
        <w:t xml:space="preserve">10 километров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V (16—17 </w:t>
      </w:r>
      <w:r>
        <w:rPr>
          <w:rFonts w:ascii="Times New Roman" w:hAnsi="Times New Roman" w:cs="Times New Roman" w:eastAsia="Times New Roman"/>
          <w:color w:val="auto"/>
          <w:spacing w:val="0"/>
          <w:position w:val="0"/>
          <w:sz w:val="28"/>
          <w:shd w:fill="auto" w:val="clear"/>
        </w:rPr>
        <w:t xml:space="preserve">лет)</w:t>
        <w:tab/>
        <w:t xml:space="preserve">10 километров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VI (18—29 </w:t>
      </w:r>
      <w:r>
        <w:rPr>
          <w:rFonts w:ascii="Times New Roman" w:hAnsi="Times New Roman" w:cs="Times New Roman" w:eastAsia="Times New Roman"/>
          <w:color w:val="auto"/>
          <w:spacing w:val="0"/>
          <w:position w:val="0"/>
          <w:sz w:val="28"/>
          <w:shd w:fill="auto" w:val="clear"/>
        </w:rPr>
        <w:t xml:space="preserve">лет)</w:t>
        <w:tab/>
        <w:t xml:space="preserve">15 километров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VII (30—39 </w:t>
      </w:r>
      <w:r>
        <w:rPr>
          <w:rFonts w:ascii="Times New Roman" w:hAnsi="Times New Roman" w:cs="Times New Roman" w:eastAsia="Times New Roman"/>
          <w:color w:val="auto"/>
          <w:spacing w:val="0"/>
          <w:position w:val="0"/>
          <w:sz w:val="28"/>
          <w:shd w:fill="auto" w:val="clear"/>
        </w:rPr>
        <w:t xml:space="preserve">лет)</w:t>
        <w:tab/>
        <w:t xml:space="preserve">10 километров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VIII (40—49 </w:t>
      </w:r>
      <w:r>
        <w:rPr>
          <w:rFonts w:ascii="Times New Roman" w:hAnsi="Times New Roman" w:cs="Times New Roman" w:eastAsia="Times New Roman"/>
          <w:color w:val="auto"/>
          <w:spacing w:val="0"/>
          <w:position w:val="0"/>
          <w:sz w:val="28"/>
          <w:shd w:fill="auto" w:val="clear"/>
        </w:rPr>
        <w:t xml:space="preserve">лет)</w:t>
        <w:tab/>
        <w:t xml:space="preserve">5 километров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IX (50—59 </w:t>
      </w:r>
      <w:r>
        <w:rPr>
          <w:rFonts w:ascii="Times New Roman" w:hAnsi="Times New Roman" w:cs="Times New Roman" w:eastAsia="Times New Roman"/>
          <w:color w:val="auto"/>
          <w:spacing w:val="0"/>
          <w:position w:val="0"/>
          <w:sz w:val="28"/>
          <w:shd w:fill="auto" w:val="clear"/>
        </w:rPr>
        <w:t xml:space="preserve">лет)</w:t>
        <w:tab/>
        <w:t xml:space="preserve">5 километров</w:t>
      </w:r>
    </w:p>
    <w:p>
      <w:pPr>
        <w:numPr>
          <w:ilvl w:val="0"/>
          <w:numId w:val="6"/>
        </w:numPr>
        <w:spacing w:before="0" w:after="0" w:line="240"/>
        <w:ind w:right="0" w:left="1069"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Укладка рюкзака.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Укладка рюкзака — один из навыков, которые нужно знать назубок. Первое, на что необходимо обратить внимание, это рюкзак: мужской должен быть не менее 80 литров, женский — порядка 60 литров.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документы (паспорт, страховой медицинский полис);</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карта;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компас;</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спички;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палатка; (Палатка должна быть прочной, устойчивой и водостойкой. Идеальный вариант — двухслойная палатка на металлических дугах с тентом.)</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спальник;</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куртка (ветровка);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головной убор;</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носки;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кружка, миска, ложка;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котелок;</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полотенце;</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мыло;</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светодиодный фонарик;</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походная аптечка; (Аптечка должна быть лёгкой и в то же время универсальной. Нужны перекись водорода, зелёнка, бинт, пластырь (бактерицидный и обычный). Могут понадобиться противопростудные препараты, активированный уголь и что-нибудь для желудка, эластичный бинт.)</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мобильный телефон; (Нужные телефоны: МЧС — 112, единая служба спасения — 01.)</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Правильная укладка – залог комфорта в походе. Когда центр тяжести расположен высоко, человеку тяжело идти. В рюкзаке не должно быть полостей: вещи нужно уложить плотно, чтобы ничего не гремело. На спине рюкзак должен располагаться вертикально. Для этого нужно правильно отрегулировать плечевые и поясные лямки.</w:t>
      </w:r>
    </w:p>
    <w:p>
      <w:pPr>
        <w:numPr>
          <w:ilvl w:val="0"/>
          <w:numId w:val="8"/>
        </w:numPr>
        <w:spacing w:before="0" w:after="0" w:line="240"/>
        <w:ind w:right="0" w:left="1069" w:hanging="36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Разведение костра.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Огонь нужно развести без помощи жидкости для розжига или сухого спирта. Для розжига можно пользоваться только бумагой. Необходимо обеспечить устойчивое горение в течение одной минуты. Место для костра должно быть по возможности укрыто от ветра и дождя. Не стоит разводить огонь под кронами хвойных деревьев и на участках с сухой травой. Костёр должен располагаться с подветренной стороны от палаток и не ближе трех — пяти метров от них, чтобы разлетающиеся искры не прожгли ткань. Нельзя разводить костры на торфяниках, огонь в них легко распространяется вглубь.</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Чтобы подготовить место для костра, расчистите участок диаметром метр — полтора от опавших листьев, сухой травы и прочего легковоспламеняющегося мусора. Если костёр будет ещё и очагом, то желательно снять верхний слой дёрна и обложить выбранную площадку камнями. В открытых ветреных степных местностях костёр следует заглубить и с наветренной стороны соорудить защитную стенку. В зимнее время надо полностью расчистить снег до поверхности земли.</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Дрова:</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сухие дрова из лиственных пород деревьев практически не дают дыма, а сырая или гнилая древесина выделяет мало тепла, зато очень сильно дымит;</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дрова из лиственных деревьев с тяжёлой плотной древесиной, таких как дуб, граб, дают хороший жар, небольшое пламя и могут гореть до двух часов, поэтому они хорошо подходят для приготовления пищи;</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мелкий сухой хворост даёт сильное пламя, выгорая за несколько минут;</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хвойный сухостой хорошо горит и образует много углей, но и много дыма и разбрасывает большое количество искр. Свежий лапник хвойных деревьев, траву и зелёные листья следует использовать лишь для сигнальных костров;</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в местах со скудной древесной растительностью топливом может служить сухой торф и высохший помёт животных, а по берегам рек и у побережья морей — выброшенная на берег и высохшая древесина. </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Растопка:</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Растопка, сложенная пирамидкой, поджигается непосредственно спичкой либо предварительно зажжённым кусочком бересты, трутом или “зажигательной палочкой”, дающей большое количество искр. Береста является самой лучшей растопкой, особенно в дождливую погоду, так как всегда сохраняется практически сухой, даже на влажных и гниющих стволах деревьев.</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Можно использовать в качестве растопки и траву, свёрнутую в жгут, также подойдёт для этой цели камыш, мох, веточки, мелкие смолистые щепки, кора хвойных деревьев. </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Типы костров:</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b/>
          <w:i/>
          <w:color w:val="auto"/>
          <w:spacing w:val="0"/>
          <w:position w:val="0"/>
          <w:sz w:val="28"/>
          <w:shd w:fill="auto" w:val="clear"/>
        </w:rPr>
        <w:t xml:space="preserve">Шалаш и колодец</w:t>
      </w:r>
      <w:r>
        <w:rPr>
          <w:rFonts w:ascii="Times New Roman" w:hAnsi="Times New Roman" w:cs="Times New Roman" w:eastAsia="Times New Roman"/>
          <w:i/>
          <w:color w:val="auto"/>
          <w:spacing w:val="0"/>
          <w:position w:val="0"/>
          <w:sz w:val="28"/>
          <w:shd w:fill="auto" w:val="clear"/>
        </w:rPr>
        <w:t xml:space="preserve">. Дрова укладываются в виде домика или сруба. Внизу между поленьями помещается растопка. Назначение такого типа костра для приготовления пищи и освещения в ночное время. Требует много дров.</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Камин. Складывается из четырёх коротких брёвен в виде колодца, с одной стороны которого сооружают стенку. Для этого вбивают два наклоненных наружу толстых кола, на которые укладывают сложенные друг на друга поленья или брёвна. Костёр разводят внутри колодца. Верхние поленья экрана постепенно скатываются вниз по мере прогорания нижних. Назначение такого типа костра — для ночного обогрева. Горит костёр-камин очень долго.</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Звёздный. Составляется из 5—10 крупных поленьев или брёвен длиной до двух-трёх метров. Их складывают концами вместе в виде звезды. По мере сгорания поленья пододвигают к центру. При небольшом размере звёздного костра, дающем жаркое пламя, на нём удобно готовить пищу.</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Нодья. Готовится из крупных брёвен сухостойных стволов хвойных деревьев длиной до трёх метров и диаметром не менее двадцати сантиметров. Чтобы дерево быстрее загорелось, перед укладкой по всей длине бревна необходимо сделать засечки топором, не снимая стружку до конца. В классической двухбрёвенной нодье брёвна кладутся продольно одно на другое и закрепляются по бокам четырьмя кольями из мокрого дерева, вбитыми в землю. Нередко сооружают нодью из трёх брёвен без ограждения. При этом два бревна кладутся на землю параллельно, вплотную друг к другу, а сверху на них укладывается третье бревно. Между брёвнами прокладываются колышки из влажного дерева для усиления потока воздуха и кладётся растопка. Вместо колышков могут использоваться камни.</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Ночной. Необходимы два-три бревна, уложенные на землю параллельно или под небольшим углом. Часто используется как для приготовления пищи и сушки одежды, так и для обогрева. Вариант — на длинное бревно под острым углом с небольшим напуском (до полуметра) укладывается три-четыре бревна. Этот тип костра довольно часто разводят для обогрева во время ночёвок на открытом воздухе под тентом.</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На кряже. Представляет из себя костёр из сухих кедровых корней и веток. Жаркое мощное пламя, отсутствие треска — вот основные признаки правильного костра. Но бывают ситуации, особенно в период осенних дождей, когда без берёзы не обойтись.</w:t>
      </w:r>
    </w:p>
    <w:p>
      <w:pPr>
        <w:spacing w:before="0" w:after="0" w:line="240"/>
        <w:ind w:right="0" w:left="0" w:firstLine="709"/>
        <w:jc w:val="both"/>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Полинезийский. Необходима конусообразно сужающаяся яма глубиной около метра, стенки которой обкладывают крупными поленьями или брёвнами, а на дне разводят костёр. Даёт много углей, хорош в дождливую и ветреную погоду.</w:t>
      </w:r>
    </w:p>
    <w:p>
      <w:pPr>
        <w:numPr>
          <w:ilvl w:val="0"/>
          <w:numId w:val="10"/>
        </w:numPr>
        <w:spacing w:before="0" w:after="0" w:line="240"/>
        <w:ind w:right="0" w:left="1069"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Ориентирование на местности по карте и компасу.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Ориентирование на местности — один из самых сложных вопросов норматива “ГТО”. требует достаточно большого объёма знаний. Но при сдаче норматива ГТО вас не будут учить – вы по умолчанию должны знать и различать топографические знаки на карте. Достаточно знать любые десять знаков, например знаки дорожной сети (тропа, тропинка, грунтовая дорога), гидрографии (родник, колодец, река, болото) или другие, знакомые детям по урокам географии.</w:t>
      </w:r>
    </w:p>
    <w:p>
      <w:pPr>
        <w:numPr>
          <w:ilvl w:val="0"/>
          <w:numId w:val="12"/>
        </w:numPr>
        <w:spacing w:before="0" w:after="0" w:line="240"/>
        <w:ind w:right="0" w:left="1069"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Способы преодоления препятствий.</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регламентирующих документах чётко не прописано, какое конкретно препятствие нужно преодолевать – это может быть и параллельная переправа, и переправа по бревну или вообще маятник. Готовить препятствие должны организаторы сдачи норматива, а не сами сдающие В любом туристском походе чаще всего приходится преодолевать различные водные преграды: болота, небольшие ручьи и речки. Часто через речку бывает переброшено бревно или положены узенькие мостки, но иногда приходится переходить ее и вброд Для юных физкультурников вполне достаточно, если длина переправы будет около 5—10 м. Для взрослых она может быть 15—20 м. Из предосторожности не следует практиковать переправы над бурными и глубокими речками и оврагами. Высота бревна над водой не должна превышать 1—2 м, а глубина воды — 0,5 м. При переправе можно пользоваться шестами. Для сдающих нормативы III и IV ступеней можно устроить тренировку по переправе вброд. Если глубина речки не выше коленей, то можно переходить по одному с шестом. При этом следует помнить, что шест ставится навстречу потоку. Затем можно попробовать перейти речку вдвоем, положив руки друг другу на плечи. До начала тренировки руководитель похода должен сам или с помощью опытных туристов (при страховке веревкой с берега) проверить, нет ли на месте переправы ям, затопленных деревьев и т. д. В 20—30 метрах вниз по течению рекомендуется выставить пикет спасателей. Во время тренировки на водной преграде целесообразно объяснить и показать способы страховки с помощью веревки, показать, как вязать основные виды узлов.</w:t>
      </w:r>
    </w:p>
    <w:p>
      <w:pPr>
        <w:spacing w:before="0" w:after="0" w:line="240"/>
        <w:ind w:right="0" w:left="1069"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1069"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4">
    <w:abstractNumId w:val="24"/>
  </w:num>
  <w:num w:numId="6">
    <w:abstractNumId w:val="18"/>
  </w:num>
  <w:num w:numId="8">
    <w:abstractNumId w:val="12"/>
  </w:num>
  <w:num w:numId="10">
    <w:abstractNumId w:val="6"/>
  </w:num>
  <w:num w:numId="12">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