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8D" w:rsidRDefault="001E48AD" w:rsidP="001E48AD">
      <w:pPr>
        <w:jc w:val="center"/>
        <w:rPr>
          <w:color w:val="DD6D00"/>
          <w:sz w:val="33"/>
          <w:szCs w:val="33"/>
        </w:rPr>
      </w:pPr>
      <w:r>
        <w:rPr>
          <w:color w:val="DD6D00"/>
          <w:sz w:val="33"/>
          <w:szCs w:val="33"/>
        </w:rPr>
        <w:t>Применение интерактивных методик в процессе</w:t>
      </w:r>
      <w:r>
        <w:rPr>
          <w:color w:val="DD6D00"/>
          <w:sz w:val="33"/>
          <w:szCs w:val="33"/>
        </w:rPr>
        <w:t xml:space="preserve"> изучения</w:t>
      </w:r>
    </w:p>
    <w:p w:rsidR="001E48AD" w:rsidRDefault="001E48AD" w:rsidP="001E48AD">
      <w:pPr>
        <w:jc w:val="center"/>
        <w:rPr>
          <w:color w:val="DD6D00"/>
          <w:sz w:val="33"/>
          <w:szCs w:val="33"/>
        </w:rPr>
      </w:pPr>
      <w:r>
        <w:rPr>
          <w:color w:val="DD6D00"/>
          <w:sz w:val="33"/>
          <w:szCs w:val="33"/>
        </w:rPr>
        <w:t>и</w:t>
      </w:r>
      <w:bookmarkStart w:id="0" w:name="_GoBack"/>
      <w:bookmarkEnd w:id="0"/>
      <w:r>
        <w:rPr>
          <w:color w:val="DD6D00"/>
          <w:sz w:val="33"/>
          <w:szCs w:val="33"/>
        </w:rPr>
        <w:t>стории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общества характеризуется возрастанием требований к уровню развития личности. В концепции модернизации российского образования  в качестве одной из задач выдвигается формирование молодого человека с критическим, нестандартным мышлением, способного к поиску взвешенных решений, основанных на самостоятельном исследовании окружающего мира.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ХХ</w:t>
      </w:r>
      <w:proofErr w:type="gramStart"/>
      <w:r w:rsidRPr="001E48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потребовал качественного изменения содержания образования, которое должно быть направлено на развитие возможностей и способностей человеческой личности. Задача школы и каждого педагога создать условия, позволяющие личности ребенка максимально </w:t>
      </w:r>
      <w:proofErr w:type="spellStart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развить свои способности, в том числе и интеллектуальные.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8A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Задачи изучения истории в основной школе:  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E48A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-формирование умений применения исторических знаний для осмысления сущности современных общественных явлений…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1E48A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 формирование важнейших культурно-исторических ориентиров для самоидентификации личности и познания современного общества на основе изучения исторического опыта России и человечества.</w:t>
      </w:r>
    </w:p>
    <w:p w:rsidR="001E48AD" w:rsidRPr="001E48AD" w:rsidRDefault="001E48AD" w:rsidP="001E48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E48AD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-развитие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 .[1]</w:t>
      </w:r>
    </w:p>
    <w:p w:rsidR="001E48AD" w:rsidRPr="001E48AD" w:rsidRDefault="001E48AD" w:rsidP="001E48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     Реализации  данных задач  способствует технология сотрудничества.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8AD" w:rsidRPr="001E48AD" w:rsidRDefault="001E48AD" w:rsidP="001E48A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технология предполагает использование </w:t>
      </w:r>
      <w:proofErr w:type="spellStart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обучении. «</w:t>
      </w:r>
      <w:proofErr w:type="spellStart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– это планирование и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учащихся, ориентированных на заданный результат»</w:t>
      </w:r>
      <w:proofErr w:type="gramStart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сказала Л.Н. Алексашкина, доктор педагогических наук, профессор института содержания и методов обучения РАО.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Групповые технологии на уроках истории</w:t>
      </w:r>
    </w:p>
    <w:p w:rsidR="001E48AD" w:rsidRPr="001E48AD" w:rsidRDefault="001E48AD" w:rsidP="001E48AD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Групповые технологии как коллективная деятельность предполагают: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взаимное обогащение учащихся в группе;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760" w:right="158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совместных действий, ведущую к активизации учебно </w:t>
      </w:r>
      <w:proofErr w:type="gramStart"/>
      <w:r w:rsidRPr="001E48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48AD">
        <w:rPr>
          <w:rFonts w:ascii="Times New Roman" w:eastAsia="Times New Roman" w:hAnsi="Times New Roman" w:cs="Times New Roman"/>
          <w:sz w:val="28"/>
          <w:szCs w:val="28"/>
        </w:rPr>
        <w:softHyphen/>
        <w:t>п</w:t>
      </w:r>
      <w:proofErr w:type="gramEnd"/>
      <w:r w:rsidRPr="001E48AD">
        <w:rPr>
          <w:rFonts w:ascii="Times New Roman" w:eastAsia="Times New Roman" w:hAnsi="Times New Roman" w:cs="Times New Roman"/>
          <w:sz w:val="28"/>
          <w:szCs w:val="28"/>
        </w:rPr>
        <w:t>ознавательных процессов;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распределение начальных действий и операций;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760" w:right="18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коммуникацию, общение, без которых невозможно распределение, обмен и взаимопонимание и благодаря которым планируются адекватные учебной задаче условия деятельности и выбор соответствующих способов действия;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0" w:line="360" w:lineRule="auto"/>
        <w:ind w:left="760" w:right="18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обмен способами действия - задаётся необходимостью построения различных способов для получения совокупного продукта деятельности - решения проблемы;</w:t>
      </w:r>
    </w:p>
    <w:p w:rsidR="001E48AD" w:rsidRPr="001E48AD" w:rsidRDefault="001E48AD" w:rsidP="001E48AD">
      <w:pPr>
        <w:widowControl w:val="0"/>
        <w:numPr>
          <w:ilvl w:val="0"/>
          <w:numId w:val="1"/>
        </w:numPr>
        <w:tabs>
          <w:tab w:val="left" w:pos="741"/>
        </w:tabs>
        <w:spacing w:after="240" w:line="360" w:lineRule="auto"/>
        <w:ind w:left="760" w:right="18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8AD">
        <w:rPr>
          <w:rFonts w:ascii="Times New Roman" w:eastAsia="Times New Roman" w:hAnsi="Times New Roman" w:cs="Times New Roman"/>
          <w:sz w:val="28"/>
          <w:szCs w:val="28"/>
        </w:rPr>
        <w:t>взаимопонимание - диктуется характером включения учащихся в совместную деятельность.</w:t>
      </w:r>
    </w:p>
    <w:p w:rsidR="001E48AD" w:rsidRPr="001E48AD" w:rsidRDefault="001E48AD" w:rsidP="001E48AD">
      <w:pPr>
        <w:widowControl w:val="0"/>
        <w:spacing w:after="0" w:line="360" w:lineRule="auto"/>
        <w:ind w:left="20" w:righ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</w:p>
    <w:p w:rsidR="001E48AD" w:rsidRPr="001E48AD" w:rsidRDefault="001E48AD" w:rsidP="001E48AD">
      <w:pPr>
        <w:widowControl w:val="0"/>
        <w:spacing w:after="0" w:line="36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групповых технологий.</w:t>
      </w:r>
    </w:p>
    <w:p w:rsidR="001E48AD" w:rsidRPr="001E48AD" w:rsidRDefault="001E48AD" w:rsidP="001E48AD">
      <w:pPr>
        <w:widowControl w:val="0"/>
        <w:numPr>
          <w:ilvl w:val="0"/>
          <w:numId w:val="2"/>
        </w:numPr>
        <w:tabs>
          <w:tab w:val="left" w:pos="25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опрос</w:t>
      </w:r>
    </w:p>
    <w:p w:rsidR="001E48AD" w:rsidRPr="001E48AD" w:rsidRDefault="001E48AD" w:rsidP="001E48AD">
      <w:pPr>
        <w:widowControl w:val="0"/>
        <w:spacing w:after="0" w:line="360" w:lineRule="auto"/>
        <w:ind w:left="40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 опрос проводится для проверки домашнего задания, для повторения и закрепления материала после завершения определённого раздела программы. Можно проводить письменный и устный опрос. Устный опрос может осуществлять консультант (из числа сильных учеников, знания которого проверил учитель) по вопросам, которые составил учитель. Устный опрос с защитой самооценки проводится в два этапа. На первом этапе каждый учащийся в группе оценивает свои знания и ставит предполагаемую оценку на информационный лист. Далее учитель вызывает из каждой группы одного ученика и задаёт вопросы в зависимости от поставленной оценки. Задача учащихся - защитить свою оценку, в противном случае оценка 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групп снижается на один балл. Данный метод позволяет формировать нравственные качества учащихся.</w:t>
      </w:r>
    </w:p>
    <w:p w:rsidR="001E48AD" w:rsidRPr="001E48AD" w:rsidRDefault="001E48AD" w:rsidP="001E48AD">
      <w:pPr>
        <w:widowControl w:val="0"/>
        <w:spacing w:after="236" w:line="360" w:lineRule="auto"/>
        <w:ind w:left="40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высокой интенсивности группового опроса, позволяющего в течение урока выявить знания всех без исключения учащихся, эта форма организации коллективной деятельности способствует воспитанию у школьников чувства взаимной требовательности и ответственности за свою учёбу.</w:t>
      </w:r>
    </w:p>
    <w:p w:rsidR="001E48AD" w:rsidRPr="001E48AD" w:rsidRDefault="001E48AD" w:rsidP="001E48AD">
      <w:pPr>
        <w:widowControl w:val="0"/>
        <w:tabs>
          <w:tab w:val="left" w:pos="1298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нового материала</w:t>
      </w:r>
    </w:p>
    <w:p w:rsidR="001E48AD" w:rsidRPr="001E48AD" w:rsidRDefault="001E48AD" w:rsidP="001E48AD">
      <w:pPr>
        <w:widowControl w:val="0"/>
        <w:spacing w:after="0" w:line="360" w:lineRule="auto"/>
        <w:ind w:left="40" w:firstLine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данной формы изучения нового материала - проверка знаний основных исторических понятий, умения подбирать необходимые факты и аргументы для раскрытия проблемы. Так при изучении темы: 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«Поэма Гомера «Илиада» и «Одиссея», учащимся даётся задание: доказать, что Одиссей хитрый, выносливый, суровый, предусмотрительный.</w:t>
      </w:r>
      <w:proofErr w:type="gramEnd"/>
    </w:p>
    <w:p w:rsidR="001E48AD" w:rsidRPr="001E48AD" w:rsidRDefault="001E48AD" w:rsidP="001E48AD">
      <w:pPr>
        <w:widowControl w:val="0"/>
        <w:spacing w:after="279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можно организовать устно, когда каждая группа находит в тексте материал для доказательства определённого качества. Если группа называет не все факты, то могут дополнить представители других групп и получают за это дополнительный жетон, который может повысить оценку группе. Учащиеся к данному уроку должны уже знать содержание параграфов. Другой вариант - письменная работа. При изучении темы « Древнее </w:t>
      </w:r>
      <w:proofErr w:type="spell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Двуречье</w:t>
      </w:r>
      <w:proofErr w:type="spell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учащиеся получают задания: </w:t>
      </w:r>
    </w:p>
    <w:p w:rsidR="001E48AD" w:rsidRPr="001E48AD" w:rsidRDefault="001E48AD" w:rsidP="001E48AD">
      <w:pPr>
        <w:widowControl w:val="0"/>
        <w:spacing w:after="279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Почему в   энциклопедии «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плутарх</w:t>
      </w:r>
      <w:proofErr w:type="spell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говорится, что история начинается в Шумере?</w:t>
      </w:r>
    </w:p>
    <w:p w:rsidR="001E48AD" w:rsidRPr="001E48AD" w:rsidRDefault="001E48AD" w:rsidP="001E48AD">
      <w:pPr>
        <w:widowControl w:val="0"/>
        <w:spacing w:after="279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Сравнить египетскую школу и школу в </w:t>
      </w:r>
      <w:proofErr w:type="spell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Двуречье</w:t>
      </w:r>
      <w:proofErr w:type="spell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для сравнения составляют сами.)  </w:t>
      </w:r>
    </w:p>
    <w:p w:rsidR="001E48AD" w:rsidRPr="001E48AD" w:rsidRDefault="001E48AD" w:rsidP="001E48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sz w:val="28"/>
          <w:szCs w:val="28"/>
        </w:rPr>
        <w:t>Вариант выполнения работы учащимися  5в класса (2015год)</w:t>
      </w:r>
    </w:p>
    <w:p w:rsidR="001E48AD" w:rsidRPr="001E48AD" w:rsidRDefault="001E48AD" w:rsidP="001E48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sz w:val="28"/>
          <w:szCs w:val="28"/>
        </w:rPr>
        <w:t xml:space="preserve">Состав группы: </w:t>
      </w:r>
      <w:proofErr w:type="spellStart"/>
      <w:r w:rsidRPr="001E48AD">
        <w:rPr>
          <w:rFonts w:ascii="Times New Roman" w:hAnsi="Times New Roman" w:cs="Times New Roman"/>
          <w:sz w:val="28"/>
          <w:szCs w:val="28"/>
        </w:rPr>
        <w:t>Редькова</w:t>
      </w:r>
      <w:proofErr w:type="spellEnd"/>
      <w:r w:rsidRPr="001E48AD">
        <w:rPr>
          <w:rFonts w:ascii="Times New Roman" w:hAnsi="Times New Roman" w:cs="Times New Roman"/>
          <w:sz w:val="28"/>
          <w:szCs w:val="28"/>
        </w:rPr>
        <w:t xml:space="preserve"> К., Николаева Н., Круглова М., </w:t>
      </w:r>
      <w:proofErr w:type="spellStart"/>
      <w:r w:rsidRPr="001E48AD">
        <w:rPr>
          <w:rFonts w:ascii="Times New Roman" w:hAnsi="Times New Roman" w:cs="Times New Roman"/>
          <w:sz w:val="28"/>
          <w:szCs w:val="28"/>
        </w:rPr>
        <w:t>Чухланцева</w:t>
      </w:r>
      <w:proofErr w:type="spellEnd"/>
      <w:r w:rsidRPr="001E48A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E48AD" w:rsidRPr="001E48AD" w:rsidRDefault="001E48AD" w:rsidP="001E48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sz w:val="28"/>
          <w:szCs w:val="28"/>
        </w:rPr>
        <w:t>1.История человечества начинается в Шумере</w:t>
      </w:r>
    </w:p>
    <w:p w:rsidR="001E48AD" w:rsidRPr="001E48AD" w:rsidRDefault="001E48AD" w:rsidP="001E48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sz w:val="28"/>
          <w:szCs w:val="28"/>
        </w:rPr>
        <w:lastRenderedPageBreak/>
        <w:t xml:space="preserve">Шумеры раньше египтян придумали каналы, раньше научились письму, математике, астрономии, </w:t>
      </w:r>
      <w:proofErr w:type="gramStart"/>
      <w:r w:rsidRPr="001E48AD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Pr="001E48AD">
        <w:rPr>
          <w:rFonts w:ascii="Times New Roman" w:hAnsi="Times New Roman" w:cs="Times New Roman"/>
          <w:sz w:val="28"/>
          <w:szCs w:val="28"/>
        </w:rPr>
        <w:t xml:space="preserve"> сколько дней в году, дней в неделе, сколько часов в сутках, сколько минут в часе. Шумеры первыми изобрели лук, плуг, колесо,  стали выращивать такие культуры, как виноград, пшеница, лён. Их литература появилась раньше Библии.</w:t>
      </w:r>
    </w:p>
    <w:p w:rsidR="001E48AD" w:rsidRPr="001E48AD" w:rsidRDefault="001E48AD" w:rsidP="001E48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sz w:val="28"/>
          <w:szCs w:val="28"/>
        </w:rPr>
        <w:t>2. Сравнительная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5"/>
        <w:gridCol w:w="3047"/>
        <w:gridCol w:w="3009"/>
      </w:tblGrid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Египетская школа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 xml:space="preserve">Школа в </w:t>
            </w:r>
            <w:proofErr w:type="spellStart"/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Письменные знаки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Иероглифы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Клинообразные знаки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Количество письменных знаков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Несколько сот знаков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Что обозначал один знак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Несколько звуков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Целое слово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Знаки определители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 xml:space="preserve">Сложность 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Сложная письменность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Сложная письменность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Профессия после школы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Писцы, жрецы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Писцы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Били учеников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Били палкой</w:t>
            </w:r>
          </w:p>
        </w:tc>
      </w:tr>
      <w:tr w:rsidR="001E48AD" w:rsidRPr="001E48AD" w:rsidTr="008D763E">
        <w:tc>
          <w:tcPr>
            <w:tcW w:w="3652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На чём писали</w:t>
            </w:r>
          </w:p>
        </w:tc>
        <w:tc>
          <w:tcPr>
            <w:tcW w:w="2835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На папирус</w:t>
            </w:r>
            <w:proofErr w:type="gramStart"/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E48AD">
              <w:rPr>
                <w:rFonts w:ascii="Times New Roman" w:hAnsi="Times New Roman" w:cs="Times New Roman"/>
                <w:sz w:val="28"/>
                <w:szCs w:val="28"/>
              </w:rPr>
              <w:t xml:space="preserve">высушенном)  </w:t>
            </w:r>
          </w:p>
        </w:tc>
        <w:tc>
          <w:tcPr>
            <w:tcW w:w="3084" w:type="dxa"/>
          </w:tcPr>
          <w:p w:rsidR="001E48AD" w:rsidRPr="001E48AD" w:rsidRDefault="001E48AD" w:rsidP="001E48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8AD">
              <w:rPr>
                <w:rFonts w:ascii="Times New Roman" w:hAnsi="Times New Roman" w:cs="Times New Roman"/>
                <w:sz w:val="28"/>
                <w:szCs w:val="28"/>
              </w:rPr>
              <w:t>На глиняных табличках</w:t>
            </w:r>
          </w:p>
        </w:tc>
      </w:tr>
    </w:tbl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3.Составление символа какого-либо события</w:t>
      </w:r>
    </w:p>
    <w:p w:rsidR="001E48AD" w:rsidRPr="001E48AD" w:rsidRDefault="001E48AD" w:rsidP="001E48AD">
      <w:pPr>
        <w:widowControl w:val="0"/>
        <w:spacing w:after="23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форма работы способствует развитию мыслительного процесс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абстрагирования и исторического мышления. Так при повторении в 10 классе темы «Россия в 18 веке» предлагается сделать символы сфер общества. Здесь важно всё: и образ, и цвета, используемые при составлении символа. Технология урока может быть следующей:</w:t>
      </w:r>
    </w:p>
    <w:p w:rsidR="001E48AD" w:rsidRPr="001E48AD" w:rsidRDefault="001E48AD" w:rsidP="001E48AD">
      <w:pPr>
        <w:widowControl w:val="0"/>
        <w:spacing w:after="23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1)учащиеся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группе составляют символ в черновом варианте.</w:t>
      </w:r>
    </w:p>
    <w:p w:rsidR="001E48AD" w:rsidRPr="001E48AD" w:rsidRDefault="001E48AD" w:rsidP="001E48AD">
      <w:pPr>
        <w:widowControl w:val="0"/>
        <w:spacing w:after="23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2)домашнее задание — сделать рисунок и подготовиться к защите</w:t>
      </w:r>
    </w:p>
    <w:p w:rsidR="001E48AD" w:rsidRPr="001E48AD" w:rsidRDefault="001E48AD" w:rsidP="001E48AD">
      <w:pPr>
        <w:framePr w:h="3859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 w:rsidRPr="001E48AD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45239D3" wp14:editId="01810FAD">
            <wp:extent cx="3190875" cy="2447925"/>
            <wp:effectExtent l="0" t="0" r="9525" b="9525"/>
            <wp:docPr id="1" name="Рисунок 1" descr="C:\DOCUME~1\Home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Home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AD" w:rsidRPr="001E48AD" w:rsidRDefault="001E48AD" w:rsidP="001E48AD">
      <w:pPr>
        <w:widowControl w:val="0"/>
        <w:spacing w:before="23" w:after="0" w:line="360" w:lineRule="auto"/>
        <w:ind w:left="20" w:right="34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Экономика в Росси 17-18вв. За символ экономики 17 и 18вв. мы взяли орла. У орла в 17в. К ноге привязан груз и мешает экономике развиваться. Смута в 17в., гражданская война; а так же наличие крепостного права сдерживали развитие экономики. Но все же в 18в. происходит частичный переход от феодализма к капитализму при становлении династии Романовых.</w:t>
      </w:r>
    </w:p>
    <w:p w:rsidR="001E48AD" w:rsidRPr="001E48AD" w:rsidRDefault="001E48AD" w:rsidP="001E48AD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увидеть изменения в экономике:</w:t>
      </w:r>
    </w:p>
    <w:p w:rsidR="001E48AD" w:rsidRPr="001E48AD" w:rsidRDefault="001E48AD" w:rsidP="001E48AD">
      <w:pPr>
        <w:widowControl w:val="0"/>
        <w:numPr>
          <w:ilvl w:val="0"/>
          <w:numId w:val="3"/>
        </w:numPr>
        <w:tabs>
          <w:tab w:val="left" w:pos="250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товарно-денежных отношений, которые приводят к становлению внутреннего рынка.</w:t>
      </w:r>
    </w:p>
    <w:p w:rsidR="001E48AD" w:rsidRPr="001E48AD" w:rsidRDefault="001E48AD" w:rsidP="001E48AD">
      <w:pPr>
        <w:widowControl w:val="0"/>
        <w:numPr>
          <w:ilvl w:val="0"/>
          <w:numId w:val="3"/>
        </w:numPr>
        <w:tabs>
          <w:tab w:val="left" w:pos="250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явление в экономике - мануфактура.</w:t>
      </w:r>
    </w:p>
    <w:p w:rsidR="001E48AD" w:rsidRPr="001E48AD" w:rsidRDefault="001E48AD" w:rsidP="001E48AD">
      <w:pPr>
        <w:widowControl w:val="0"/>
        <w:spacing w:after="0" w:line="360" w:lineRule="auto"/>
        <w:ind w:left="20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развитие товарно-денежных отношений, строительства мануфактур, Россия оставалась аграрной страной.</w:t>
      </w:r>
    </w:p>
    <w:p w:rsidR="001E48AD" w:rsidRPr="001E48AD" w:rsidRDefault="001E48AD" w:rsidP="001E48AD">
      <w:pPr>
        <w:widowControl w:val="0"/>
        <w:spacing w:after="0" w:line="360" w:lineRule="auto"/>
        <w:ind w:left="20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18в. мы нарисовали орла, который не так отягощен, как орел в 17в. Мы нарисовали 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потому что в 18в. произошли изменения в экономике.</w:t>
      </w:r>
    </w:p>
    <w:p w:rsidR="001E48AD" w:rsidRPr="001E48AD" w:rsidRDefault="001E48AD" w:rsidP="001E48AD">
      <w:pPr>
        <w:widowControl w:val="0"/>
        <w:spacing w:after="0" w:line="360" w:lineRule="auto"/>
        <w:ind w:left="20" w:right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Манифест 1775г., который дал право крестьянам заниматься предпринимательской деятельностью.</w:t>
      </w:r>
    </w:p>
    <w:p w:rsidR="001E48AD" w:rsidRPr="001E48AD" w:rsidRDefault="001E48AD" w:rsidP="001E48AD">
      <w:pPr>
        <w:widowControl w:val="0"/>
        <w:spacing w:after="38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Политическая сфера</w:t>
      </w:r>
    </w:p>
    <w:p w:rsidR="001E48AD" w:rsidRPr="001E48AD" w:rsidRDefault="001E48AD" w:rsidP="001E48AD">
      <w:pPr>
        <w:framePr w:h="2818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r w:rsidRPr="001E48AD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6DF033" wp14:editId="42A49B8F">
            <wp:extent cx="2447925" cy="1790700"/>
            <wp:effectExtent l="0" t="0" r="9525" b="0"/>
            <wp:docPr id="2" name="Рисунок 2" descr="C:\DOCUME~1\Home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Home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AD" w:rsidRPr="001E48AD" w:rsidRDefault="001E48AD" w:rsidP="001E48A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1E48AD" w:rsidRPr="001E48AD" w:rsidRDefault="001E48AD" w:rsidP="001E48AD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рисунке мы изобразили политику Петра I и Екатерины II. Петр I использовал идеи регулярного государства, в которых абсолютная власть монарха регламентирует все стороны общественной жизни. Годы правления Екатерины Принято называть эпохой “просвещенного абсолютизма</w:t>
      </w:r>
    </w:p>
    <w:p w:rsidR="001E48AD" w:rsidRPr="001E48AD" w:rsidRDefault="001E48AD" w:rsidP="001E48AD">
      <w:pPr>
        <w:widowControl w:val="0"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 I.</w:t>
      </w:r>
    </w:p>
    <w:p w:rsidR="001E48AD" w:rsidRPr="001E48AD" w:rsidRDefault="001E48AD" w:rsidP="001E48AD">
      <w:pPr>
        <w:widowControl w:val="0"/>
        <w:spacing w:after="0" w:line="360" w:lineRule="auto"/>
        <w:ind w:left="20"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рисунке Петр I выражен в виде медведя, т.к. медведь считается могучим и мудрым животным, таким человеком и был Петр I. Народ и страна на нашем рисунке выражена в виде собаки. Со стороны Петра 1 собака неухоженная, т.к. Россия в руки Петру I досталась разоренной и разгромленной. В одной руке медведь держит короткий поводок, который держит собаку. Этот поводок короткий, т.к. 11етр I сам лично следил за всем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происходило  в стране. В другой лапе медведя кнут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Пётр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 большинство реформ  насильственными  методами .На голове медведя императорская корона, т.к. Петр 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провозгласил страну Российской империей. Около медведя стоит пушка</w:t>
      </w:r>
      <w:proofErr w:type="gramStart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Пётр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E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вёл продолжительную войну за выход к Балтийскому морю 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II.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годы правления Екатерины II принято называть эпохой “Просвещенного абсолютизма ”.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мы изобразили лису, т.к. императрица обладала острым умом, развитым интеллектом и стремлением к осознанию государственных интересов.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II хотела видеть народ свободным, но не все ее старания увенчались успехами, крепостное право все же осталось, но народ получил 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свободы, например: разрешалось открывать частные типографии, строились мечети, старообрядцы освобождались от двойных налогов.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Опорой императрицы было дворянство, которое пользовалось большими привилегиями.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Императрица передала власть на местах в руки дворян, чтобы усилить власть над народом, поэтому хоть поводок и удлинился, но он все же остался.</w:t>
      </w:r>
    </w:p>
    <w:p w:rsidR="001E48AD" w:rsidRPr="001E48AD" w:rsidRDefault="001E48AD" w:rsidP="001E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со стороны Екатерина II более ухоженная, т.к. Россия попала в руки императрицы более развитой».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Диспут [5, 45]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Разновидностью учебной встречи является диспут. Организация диспута, основанного на столкновении разных мнений - сложное и ответственное дело. Успех диспута во многом определяется темой, заключающей в себе, как минимум, две разноречивые позиции.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тщательно продумывает задачи диспута, его предполагаемое течение, возможные варианты и главное, выводы, к которым учащиеся должны прийти в результате обсуждения. В ходе дискуссии учитель следит за соблюдением правил ведения дискуссии</w:t>
      </w:r>
      <w:proofErr w:type="gramStart"/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:,</w:t>
      </w:r>
      <w:proofErr w:type="gramEnd"/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критикую идеи, а не людей.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Моя цель не в том, чтобы «победить», а в том, чтобы прийти к наилучшему решению.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побуждаю каждого из участников к тому, чтобы участвовать в обсуждении.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выслушиваю соображения, даже если я с ними не согласен.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сначала выслушаю все идеи и факты, относящиеся к обеим позициям.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стремлюсь осмыслить и понять оба взгляда на проблему.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изменяю свою точку зрения под воздействием фактов и убедительных аргументов.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велика роль ведущего на диспуте. Он обязан предоставлять слово желающим, следить за соблюдением регламента, регулировать очерёдность 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выступлений и, главное, заботиться о том, чтобы накал страстей не спадал до конца.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диспута - научится логично, доказательно отстаивать свою точку зрения.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 изучении темы «Социальные нормы и отклоняющееся поведение» можно поставить следующую задачу: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Государство: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виновато в росте негативного отклоняющегося поведения;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виновато в росте негативного отклоняющегося поведения.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класс слабый по составу, то одну позицию может отстаивать учитель, тем самым, подготавливая учащихся самостоятельно вести диспут.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групповым технологиям следует отнести и многие технологии нетрадиционных уроков, в которых имеют место разделение класса на какие-либо группы.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 урок - игра, «путешествие по станциям», урок - митинг.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Внеклассная работа</w:t>
      </w:r>
    </w:p>
    <w:p w:rsidR="001E48AD" w:rsidRPr="001E48AD" w:rsidRDefault="001E48AD" w:rsidP="001E48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AD" w:rsidRPr="001E48AD" w:rsidRDefault="001E48AD" w:rsidP="001E48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Общешкольные  мероприятия занимают в структуре школьной жизни важное место. Их цели разнообразны: несут дополнительную информацию, расширяют кругозор, развивают. Но их главная цель</w:t>
      </w:r>
      <w:proofErr w:type="gramStart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взорвать обстановку однообразия, монотонности умственного труда праздником чувств, эмоций, радостных переживаний. Детям это необходимо.</w:t>
      </w:r>
    </w:p>
    <w:p w:rsidR="001E48AD" w:rsidRPr="001E48AD" w:rsidRDefault="001E48AD" w:rsidP="001E48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48AD">
        <w:rPr>
          <w:rFonts w:ascii="Times New Roman" w:eastAsia="Calibri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общешкольные мероприятия - это арена талантливым</w:t>
      </w:r>
      <w:proofErr w:type="gramStart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волевым ребятам для  самоутверждения, тренировки воли.   [6]</w:t>
      </w:r>
    </w:p>
    <w:p w:rsidR="001E48AD" w:rsidRPr="001E48AD" w:rsidRDefault="001E48AD" w:rsidP="001E48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В нашей школе ежегодно проводится неделя истории, которая включает в себя различные мероприятия, в том числе интеллектуальные игры. В данной работе я представляю сценарий игры, проведённой с учащимися 5-х классов</w:t>
      </w:r>
      <w:proofErr w:type="gramStart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., </w:t>
      </w:r>
      <w:proofErr w:type="gramEnd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также презентацию к этой игре. В 5-м классе участвовали в игре 2 команды: </w:t>
      </w:r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команда 5а класса и сборная команда 5б и 5в классов. В игре участвуют самые  сильные учащиеся параллели. После объявления темы начинается подбор команды, ребята получают список рекомендуемой литературы.   Подготовка к игре идёт в течение месяца. Учитель консультирует команды, даёт рекомендации</w:t>
      </w:r>
      <w:proofErr w:type="gramStart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Учащиеся распределяют между собой список рекомендуемой литературы в целях более качественной подготовки к игре, чтобы встреча была интересной.</w:t>
      </w:r>
    </w:p>
    <w:p w:rsidR="001E48AD" w:rsidRPr="001E48AD" w:rsidRDefault="001E48AD" w:rsidP="001E48AD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48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ребята  данной параллели учились в 6-м,7-м классе, также проводились  интеллектуальные игры. Но участвовали уже три команды. Методика подготовки и проведения осталась неизменной.</w:t>
      </w:r>
    </w:p>
    <w:p w:rsidR="001E48AD" w:rsidRDefault="001E48AD" w:rsidP="001E48AD"/>
    <w:sectPr w:rsidR="001E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4B7"/>
    <w:multiLevelType w:val="multilevel"/>
    <w:tmpl w:val="FD5EC7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DA60EE"/>
    <w:multiLevelType w:val="multilevel"/>
    <w:tmpl w:val="CECAA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B9590A"/>
    <w:multiLevelType w:val="multilevel"/>
    <w:tmpl w:val="162E6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AD"/>
    <w:rsid w:val="001E48AD"/>
    <w:rsid w:val="00E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1827</Words>
  <Characters>10416</Characters>
  <Application>Microsoft Office Word</Application>
  <DocSecurity>0</DocSecurity>
  <Lines>86</Lines>
  <Paragraphs>24</Paragraphs>
  <ScaleCrop>false</ScaleCrop>
  <Company>Home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2017-01-19T19:00:00Z</dcterms:created>
  <dcterms:modified xsi:type="dcterms:W3CDTF">2017-01-19T19:04:00Z</dcterms:modified>
</cp:coreProperties>
</file>