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3B" w:rsidRDefault="0033123B" w:rsidP="0033123B">
      <w:pPr>
        <w:spacing w:line="360" w:lineRule="auto"/>
        <w:jc w:val="center"/>
        <w:rPr>
          <w:bCs/>
          <w:sz w:val="28"/>
        </w:rPr>
      </w:pPr>
      <w:r>
        <w:rPr>
          <w:b/>
          <w:bCs/>
          <w:sz w:val="28"/>
        </w:rPr>
        <w:t>ТЕОРЕТИЧЕСКИЕ ОСНОВЫ УПРАВЛЕНИЯ ИННОВАЦИОННОЙ ДЕЯТЕЛЬНОСТИ ПЕДАГОГИЧЕСКОГО КОЛЛЕКТИВА ОБРАЗОВАТЕЛЬНОЙ ОРГАНИЗАЦИИ</w:t>
      </w:r>
    </w:p>
    <w:p w:rsidR="0033123B" w:rsidRDefault="0033123B" w:rsidP="0033123B">
      <w:pPr>
        <w:spacing w:line="360" w:lineRule="auto"/>
        <w:rPr>
          <w:b/>
          <w:sz w:val="28"/>
          <w:szCs w:val="28"/>
        </w:rPr>
      </w:pPr>
    </w:p>
    <w:p w:rsidR="0033123B" w:rsidRDefault="0033123B" w:rsidP="003312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основания управления инновационной деятельностью</w:t>
      </w:r>
    </w:p>
    <w:p w:rsidR="0033123B" w:rsidRDefault="0033123B" w:rsidP="0033123B">
      <w:pPr>
        <w:spacing w:line="360" w:lineRule="auto"/>
        <w:rPr>
          <w:sz w:val="28"/>
          <w:szCs w:val="28"/>
        </w:rPr>
      </w:pPr>
    </w:p>
    <w:p w:rsidR="0033123B" w:rsidRDefault="0033123B" w:rsidP="0033123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Участникам инновационной и экспериментальной деятельности рекомендуется принять во внимание, что с вступлением в силу Федерального закона от 29 декабря 2012 г. №273 «Об образовании в Российской Федерации» существенно изменилось нормативно-правовая регламентация экспериментальной и инновационной деятельности образовательных организаций по сравнению с предыдущей практикой. Статья 20 данного закона определяет цели экспериментальной и инновационной деятельности в сфере образования как «</w:t>
      </w:r>
      <w:r>
        <w:rPr>
          <w:color w:val="000000"/>
          <w:sz w:val="28"/>
          <w:szCs w:val="28"/>
        </w:rPr>
        <w:t xml:space="preserve">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образования». При этом федеральный закон четко разграничивает предмет экспериментальной и инновационной деятельности. </w:t>
      </w:r>
    </w:p>
    <w:p w:rsidR="0033123B" w:rsidRDefault="0033123B" w:rsidP="0033123B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33123B" w:rsidRDefault="0033123B" w:rsidP="0033123B">
      <w:pPr>
        <w:spacing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форм реализации инновационной деятельности Федеральный закон </w:t>
      </w:r>
      <w:r>
        <w:rPr>
          <w:sz w:val="28"/>
          <w:szCs w:val="28"/>
        </w:rPr>
        <w:t xml:space="preserve">«Об образовании в Российской Федерации» определяет проект и программу. Принципиально важным положением закона является установление возможности для проведения </w:t>
      </w:r>
      <w:r>
        <w:rPr>
          <w:color w:val="000000"/>
          <w:sz w:val="28"/>
          <w:szCs w:val="28"/>
        </w:rPr>
        <w:t xml:space="preserve">инновационной деятельности не только организациями, осуществляющими образовательную деятельность, но и иными действующими в сфере образования организациями, а также их объединениями. При организации инновационного проекта или программы </w:t>
      </w:r>
      <w:r>
        <w:rPr>
          <w:color w:val="000000"/>
          <w:sz w:val="28"/>
          <w:szCs w:val="28"/>
        </w:rPr>
        <w:lastRenderedPageBreak/>
        <w:t>должны соблюдаться права и законные интересы участников образовательных отношений на предоставление и получение образования, уровень и качество которого не могут быть ниже требований, установленных федеральным государственными требованиями и профессиональным стандартом.</w:t>
      </w:r>
    </w:p>
    <w:p w:rsidR="0033123B" w:rsidRDefault="0033123B" w:rsidP="003312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28. Компетенция, права, обязанности и ответственность образовательной организации гласит:</w:t>
      </w:r>
    </w:p>
    <w:p w:rsidR="0033123B" w:rsidRDefault="0033123B" w:rsidP="003312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33123B" w:rsidRDefault="0033123B" w:rsidP="003312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33123B" w:rsidRDefault="0033123B" w:rsidP="003312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образовательной организации в установленной сфере деятельности относятся: разработка и утверждение образовательных программ образовательной организации и т.д. </w:t>
      </w:r>
    </w:p>
    <w:p w:rsidR="0033123B" w:rsidRDefault="0033123B" w:rsidP="003312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Российской Федерации №1155 от 17.10.2013 года, введен в действие новый федеральный государственный образовательный стандарт дошкольного образования, который включает в себя требования к структуре, условиям и результатам основной образовательной программы дошкольного образования. </w:t>
      </w:r>
    </w:p>
    <w:p w:rsidR="0033123B" w:rsidRDefault="0033123B" w:rsidP="0033123B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Профессиональный стандарт «Руководитель образовательной организации» (управление в сфере образования), </w:t>
      </w:r>
      <w:bookmarkStart w:id="0" w:name="Par40"/>
      <w:bookmarkEnd w:id="0"/>
      <w:r>
        <w:rPr>
          <w:sz w:val="28"/>
          <w:szCs w:val="28"/>
        </w:rPr>
        <w:t xml:space="preserve">Профессиональный стандарт «Педагог» (воспитатель, учитель) приказ Министерства труда и социальной защиты Российской Федерации от 18.10.2013 года №544 н. г. Москва. </w:t>
      </w:r>
    </w:p>
    <w:p w:rsidR="0033123B" w:rsidRDefault="0033123B" w:rsidP="003312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документы зафиксировали новую систему требований для образовательных организаций дошкольного образования. В числе этих норм – разработка и утверждение основной образовательной программы, разработка рабочих программ, требования к результатам освоения основной образовательной программы. Причем, требования к результатам, сформулированные в стандарте, ставят перед руководителями новые задачи, которые требуют новых подходов, средств и методов.</w:t>
      </w:r>
    </w:p>
    <w:p w:rsidR="0033123B" w:rsidRDefault="0033123B" w:rsidP="0033123B">
      <w:pPr>
        <w:spacing w:line="360" w:lineRule="auto"/>
        <w:rPr>
          <w:sz w:val="28"/>
          <w:szCs w:val="28"/>
        </w:rPr>
      </w:pPr>
      <w:r>
        <w:rPr>
          <w:color w:val="444444"/>
          <w:sz w:val="18"/>
          <w:szCs w:val="18"/>
        </w:rPr>
        <w:t xml:space="preserve"> </w:t>
      </w:r>
    </w:p>
    <w:p w:rsidR="0033123B" w:rsidRDefault="0033123B" w:rsidP="0033123B">
      <w:pPr>
        <w:spacing w:line="360" w:lineRule="auto"/>
        <w:ind w:right="30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Подходы к содержанию инновационной деятельности педагогического коллектива образовательной организации</w:t>
      </w:r>
    </w:p>
    <w:p w:rsidR="0033123B" w:rsidRDefault="0033123B" w:rsidP="0033123B">
      <w:pPr>
        <w:spacing w:line="360" w:lineRule="auto"/>
        <w:ind w:right="300"/>
        <w:jc w:val="both"/>
        <w:rPr>
          <w:b/>
          <w:bCs/>
          <w:sz w:val="28"/>
          <w:szCs w:val="28"/>
        </w:rPr>
      </w:pP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Инновационная деятельность в образовательной практике, в том числе у ее индивидуальных и коллективных субъектов, в настоящее время многогранно изучается. Это связано с рядом факторов, среди которых отметим поиск руководящими органами образования и образовательными учреждениями путей реализации основных направлений реформирования российского образования, поиск новых путей достижения качества образования, разработку и реализацию образовательных программ образовательных учреждений и др.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Решающая роль в реализации данных направлений принадлежит педагогическим коллективам образовательных учреждений. Для того чтобы обосновать развитие педагогического коллектива в процессе его инновационной деятельности, необходимо вначале определить сущность его инновационной деятельности. Для этого рассмотрим ее в параметрах основных подходов </w:t>
      </w:r>
      <w:proofErr w:type="spellStart"/>
      <w:r>
        <w:rPr>
          <w:sz w:val="28"/>
          <w:szCs w:val="28"/>
        </w:rPr>
        <w:t>инноватики</w:t>
      </w:r>
      <w:proofErr w:type="spellEnd"/>
      <w:r>
        <w:rPr>
          <w:sz w:val="28"/>
          <w:szCs w:val="28"/>
        </w:rPr>
        <w:t xml:space="preserve">, творчества,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коллективного субъекта; данные понятия являются ключевыми в нашем исследовании.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позволит нам в дальнейшем рассмотреть поэтапное развитие педагогического коллектива в процессе его инновационной </w:t>
      </w:r>
      <w:r>
        <w:rPr>
          <w:sz w:val="28"/>
          <w:szCs w:val="28"/>
        </w:rPr>
        <w:lastRenderedPageBreak/>
        <w:t xml:space="preserve">деятельности, выявить ее особенности, обосновать механизм развития педагогического коллектива в этом процессе.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Обозначенные концептуальные подходы положены в основу модели организации инновационной деятельности педагогического коллектива, рассматриваемой в качестве фактора его развития. Одним из приоритетных направлений деятельности образовательной организации в настоящее время определилась инновационная деятельность - деятельность по созданию и освоению конкретных новшеств, затрагивающих все сферы их жизнедеятельности.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исследователей инновационных процессов в образовании понимают под инновационной деятельностью любое новое, нестандартное, необычное, что осваивается в конкретном образовательном учреждении. Основываясь на таком подходе, можно утверждать, что практически все образовательные учреждения в той или иной степени занимаются инновационной деятельностью. Количественная статистика подтверждает это. При этом зачастую не оцениваются и не анализируются те изменения, которые происходят в результате инновационной деятельности в самом образовательном учреждении и за его пределами. Как правило, попытки анализа носят хаотический, локальный характер, не представляя собой какой-либо системы.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инновационной деятельности педагогического коллектива мы обратились к анализу научной литературы.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впервые термин «инновация» появился в научных исследованиях культурологов в ХГХ веке и буквально означал «введение некоторых элементов одной культуры в другую». С начала XX века стали изучаться закономерности технических нововведений.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30-х годах XX века австрийский экономист И. </w:t>
      </w:r>
      <w:proofErr w:type="spellStart"/>
      <w:r>
        <w:rPr>
          <w:sz w:val="28"/>
          <w:szCs w:val="28"/>
        </w:rPr>
        <w:t>Шумпетер</w:t>
      </w:r>
      <w:proofErr w:type="spellEnd"/>
      <w:r>
        <w:rPr>
          <w:sz w:val="28"/>
          <w:szCs w:val="28"/>
        </w:rPr>
        <w:t xml:space="preserve"> впервые использовал понятие «инновация», означавшее в авторском варианте «новшество», «нововведение».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Систематическое изучение инновации в образовании началось в конце 50-х годов XX века в США и Западной Европе. В исследованиях американских и английских ученых (Дж. </w:t>
      </w:r>
      <w:proofErr w:type="spellStart"/>
      <w:r>
        <w:rPr>
          <w:sz w:val="28"/>
          <w:szCs w:val="28"/>
        </w:rPr>
        <w:t>Бассет</w:t>
      </w:r>
      <w:proofErr w:type="spellEnd"/>
      <w:r>
        <w:rPr>
          <w:sz w:val="28"/>
          <w:szCs w:val="28"/>
        </w:rPr>
        <w:t xml:space="preserve">, Д Гамильтон, Р. </w:t>
      </w:r>
      <w:proofErr w:type="spellStart"/>
      <w:r>
        <w:rPr>
          <w:sz w:val="28"/>
          <w:szCs w:val="28"/>
        </w:rPr>
        <w:t>Хейвлок</w:t>
      </w:r>
      <w:proofErr w:type="spellEnd"/>
      <w:r>
        <w:rPr>
          <w:sz w:val="28"/>
          <w:szCs w:val="28"/>
        </w:rPr>
        <w:t xml:space="preserve"> и др.) прежде всего, освещались проблемы руководства инновационными процессами.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науке и практике появление устойчивого интереса к инновациям в образовании приходится на середину 80-х годов XX века и др. Как ответ на потребности и запросы практики стала стремительно, формироваться психология управления как самостоятельная отрасль научного знания, посвященная инновациям в педагогической деятельности, со своим категориальным аппаратом, законностями, методами исследования.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потребность и необходимость в изучении феномена инновационной педагогической деятельности, систематизации и осмысления существующего инновационного опыта. С этого момента реально обозначаются контуры будущего научного направления, получившего название «</w:t>
      </w:r>
      <w:proofErr w:type="gramStart"/>
      <w:r>
        <w:rPr>
          <w:sz w:val="28"/>
          <w:szCs w:val="28"/>
        </w:rPr>
        <w:t>педагогическая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инноватика</w:t>
      </w:r>
      <w:proofErr w:type="spellEnd"/>
      <w:r>
        <w:rPr>
          <w:sz w:val="28"/>
          <w:szCs w:val="28"/>
        </w:rPr>
        <w:t>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современную психолого-педагогическую литературу и диссертационные исследования в области образования, пришли к выводу, что сегодня нет единого понимания и толкования термина «инновация». Данный факт отражает существование различных точек зрения на инновационную деятельность, приводит к различным позициям в оценке ее результатов и часто затрудняет проведение объективной экспертизы инновационного процесса и его результативности.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Инновация понимается как социально-психологическое качество деятельности (В.В. Антонюк); как процесс создания и использования нового опыта, связанного с изменениями в социально-образовательной среде (А.И. Пригожий); как преобразования и изменения в образе деятельности, стиле мышления педагога, построения целостной </w:t>
      </w:r>
      <w:r>
        <w:rPr>
          <w:sz w:val="28"/>
          <w:szCs w:val="28"/>
        </w:rPr>
        <w:lastRenderedPageBreak/>
        <w:t xml:space="preserve">концепции, лежащей в основе общей системы учебно-воспитательной работы (К. </w:t>
      </w:r>
      <w:proofErr w:type="spellStart"/>
      <w:r>
        <w:rPr>
          <w:sz w:val="28"/>
          <w:szCs w:val="28"/>
        </w:rPr>
        <w:t>Ангеловски</w:t>
      </w:r>
      <w:proofErr w:type="spellEnd"/>
      <w:r>
        <w:rPr>
          <w:sz w:val="28"/>
          <w:szCs w:val="28"/>
        </w:rPr>
        <w:t>, М.В. Кларин);</w:t>
      </w:r>
      <w:proofErr w:type="gramEnd"/>
      <w:r>
        <w:rPr>
          <w:sz w:val="28"/>
          <w:szCs w:val="28"/>
        </w:rPr>
        <w:t xml:space="preserve"> как фактор стимулирования профессиональной активности педагогов (Т.Г. </w:t>
      </w:r>
      <w:proofErr w:type="spellStart"/>
      <w:r>
        <w:rPr>
          <w:sz w:val="28"/>
          <w:szCs w:val="28"/>
        </w:rPr>
        <w:t>Браже</w:t>
      </w:r>
      <w:proofErr w:type="spellEnd"/>
      <w:r>
        <w:rPr>
          <w:sz w:val="28"/>
          <w:szCs w:val="28"/>
        </w:rPr>
        <w:t xml:space="preserve">, С.Г. </w:t>
      </w:r>
      <w:proofErr w:type="spellStart"/>
      <w:r>
        <w:rPr>
          <w:sz w:val="28"/>
          <w:szCs w:val="28"/>
        </w:rPr>
        <w:t>Вершловский</w:t>
      </w:r>
      <w:proofErr w:type="spellEnd"/>
      <w:r>
        <w:rPr>
          <w:sz w:val="28"/>
          <w:szCs w:val="28"/>
        </w:rPr>
        <w:t xml:space="preserve">); как проявление творчества в педагогической деятельности (В А Кан - Калик).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литературе инновации характеризуются (в качестве одного из вариантов) «как актуально значимые и системно самоорганизующиеся новообразования, возникающие на основе разнообразия инициатив и новшеств, которые становятся перспективными для эволюции образования и позитивно влияют на его развитие».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русле исследования поддерживаем позицию Н.И. Лапина, который определяет инновацию «как комплексный процесс создания, распространения и использования нового практического опыта для удовлетворения человеческих потребностей, меняющихся под воздействием закономерного развития общества, а также сопряженные с данным новшеством изменения в социальной и вещественной среде».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различные подходы к определению одного из основных терминов исследования, которые дают основание более точно определиться в терминологическом аппарате </w:t>
      </w:r>
      <w:proofErr w:type="spellStart"/>
      <w:r>
        <w:rPr>
          <w:sz w:val="28"/>
          <w:szCs w:val="28"/>
        </w:rPr>
        <w:t>инноватики</w:t>
      </w:r>
      <w:proofErr w:type="spellEnd"/>
      <w:r>
        <w:rPr>
          <w:sz w:val="28"/>
          <w:szCs w:val="28"/>
        </w:rPr>
        <w:t>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нововведений в отечественной науке ведется в целом в двух направлениях: социологическом и социально-психологическом. В первом направлении авторы (Ю.О. </w:t>
      </w:r>
      <w:proofErr w:type="spellStart"/>
      <w:r>
        <w:rPr>
          <w:sz w:val="28"/>
          <w:szCs w:val="28"/>
        </w:rPr>
        <w:t>Вооглайд</w:t>
      </w:r>
      <w:proofErr w:type="spellEnd"/>
      <w:r>
        <w:rPr>
          <w:sz w:val="28"/>
          <w:szCs w:val="28"/>
        </w:rPr>
        <w:t xml:space="preserve">, Н.И. Лапин, А.И. Пригожий, Б.В. Сазонов и др.) рассматривают нововведения в рамках социальной среды, изучают роль структурных особенностей организаций. Представители второго направления (Г.М. Андреева, В.И. Антонюк, Н.А. Ильина,             Б.Д. </w:t>
      </w:r>
      <w:proofErr w:type="spellStart"/>
      <w:r>
        <w:rPr>
          <w:sz w:val="28"/>
          <w:szCs w:val="28"/>
        </w:rPr>
        <w:t>Парыгин</w:t>
      </w:r>
      <w:proofErr w:type="spellEnd"/>
      <w:r>
        <w:rPr>
          <w:sz w:val="28"/>
          <w:szCs w:val="28"/>
        </w:rPr>
        <w:t xml:space="preserve">) рассматривают отношения, социальные установки работников относительно инноваций, социально-психологические особенности личности и коллектива в процессе введения новшества.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трудах представителей первого из указанных научных направлений разработаны основы категориального аппарата общей </w:t>
      </w:r>
      <w:proofErr w:type="spellStart"/>
      <w:r>
        <w:rPr>
          <w:sz w:val="28"/>
          <w:szCs w:val="28"/>
        </w:rPr>
        <w:t>инноватики</w:t>
      </w:r>
      <w:proofErr w:type="spellEnd"/>
      <w:r>
        <w:rPr>
          <w:sz w:val="28"/>
          <w:szCs w:val="28"/>
        </w:rPr>
        <w:t xml:space="preserve">. Все попытки его изменить, дополнить, «корректно перенести», то есть «внести свой вклад», являются сами по себе примерами «относительной новизны», а если быть точнее - </w:t>
      </w:r>
      <w:proofErr w:type="spellStart"/>
      <w:r>
        <w:rPr>
          <w:sz w:val="28"/>
          <w:szCs w:val="28"/>
        </w:rPr>
        <w:t>псевдоновизны</w:t>
      </w:r>
      <w:proofErr w:type="spellEnd"/>
      <w:r>
        <w:rPr>
          <w:sz w:val="28"/>
          <w:szCs w:val="28"/>
        </w:rPr>
        <w:t xml:space="preserve"> и наиболее распространенной ее формы </w:t>
      </w:r>
      <w:proofErr w:type="spellStart"/>
      <w:r>
        <w:rPr>
          <w:sz w:val="28"/>
          <w:szCs w:val="28"/>
        </w:rPr>
        <w:t>варификации</w:t>
      </w:r>
      <w:proofErr w:type="spellEnd"/>
      <w:r>
        <w:rPr>
          <w:sz w:val="28"/>
          <w:szCs w:val="28"/>
        </w:rPr>
        <w:t xml:space="preserve"> - «не столько лучше, сколько иначе».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Инновацию (нововведение) вслед за А.И. Пригожиным будем рассматривать как «целенаправленное изменение, вносящее в среду внедрения (организацию, общество и т.д.) новые, относительно стабильные элементы». Это процесс освоения новшества, под которым понимается предмет нововведения (например, новая технология, методика воспитания и обучения). Нововведения рассматриваются как новый для данной организации, в том числе и для конкретного образовательного учреждения, способ решения проблем. В этом случае мы вправе определить сущность инновации как деятельности, направленной на качественное изменение системы, в результате которой данная система приобретает новое, более совершенное состояние.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отечественной педагогической науке традиционными являются исследования инновационной деятельности с точки зрения теории и практики внедрения достижений педагогической науки и распространения передового педагогического опыта (А.А. </w:t>
      </w:r>
      <w:proofErr w:type="spellStart"/>
      <w:r>
        <w:rPr>
          <w:sz w:val="28"/>
          <w:szCs w:val="28"/>
        </w:rPr>
        <w:t>Арламов</w:t>
      </w:r>
      <w:proofErr w:type="spellEnd"/>
      <w:r>
        <w:rPr>
          <w:sz w:val="28"/>
          <w:szCs w:val="28"/>
        </w:rPr>
        <w:t xml:space="preserve">, Ю.К. </w:t>
      </w: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>, А.Н. Бойко, В.И. Журавлев, В.В. Краевский, М.М. Поташник, МЛ.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Скаткин</w:t>
      </w:r>
      <w:proofErr w:type="spellEnd"/>
      <w:r>
        <w:rPr>
          <w:sz w:val="28"/>
          <w:szCs w:val="28"/>
        </w:rPr>
        <w:t xml:space="preserve">, Я.С. </w:t>
      </w:r>
      <w:proofErr w:type="spellStart"/>
      <w:r>
        <w:rPr>
          <w:sz w:val="28"/>
          <w:szCs w:val="28"/>
        </w:rPr>
        <w:t>Турбовский</w:t>
      </w:r>
      <w:proofErr w:type="spellEnd"/>
      <w:r>
        <w:rPr>
          <w:sz w:val="28"/>
          <w:szCs w:val="28"/>
        </w:rPr>
        <w:t xml:space="preserve"> и др.), поэтому в педагогической практике процессы внедрения и распространения передового опыта стали рассматриваться как виды инновационных процессов. </w:t>
      </w:r>
      <w:proofErr w:type="gramEnd"/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В.И. </w:t>
      </w:r>
      <w:proofErr w:type="spellStart"/>
      <w:r>
        <w:rPr>
          <w:sz w:val="28"/>
          <w:szCs w:val="28"/>
        </w:rPr>
        <w:t>Загвязинский</w:t>
      </w:r>
      <w:proofErr w:type="spellEnd"/>
      <w:r>
        <w:rPr>
          <w:sz w:val="28"/>
          <w:szCs w:val="28"/>
        </w:rPr>
        <w:t xml:space="preserve"> трактует инновационную деятельность через так называемый «инновационный поток» как «деятельность всех категорий педагогов, очень тесно связанную с развитием психолого-</w:t>
      </w:r>
      <w:r>
        <w:rPr>
          <w:sz w:val="28"/>
          <w:szCs w:val="28"/>
        </w:rPr>
        <w:lastRenderedPageBreak/>
        <w:t>педагогических наук, несущей в образовательную практику новые идеи, новое содержание и обновленную технологию».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Похожую позицию занимает в своих исследованиях А.Я. </w:t>
      </w:r>
      <w:proofErr w:type="spellStart"/>
      <w:r>
        <w:rPr>
          <w:sz w:val="28"/>
          <w:szCs w:val="28"/>
        </w:rPr>
        <w:t>Наин</w:t>
      </w:r>
      <w:proofErr w:type="spellEnd"/>
      <w:r>
        <w:rPr>
          <w:sz w:val="28"/>
          <w:szCs w:val="28"/>
        </w:rPr>
        <w:t>, отмечая, что «инновационная деятельность обычно трактуется как деятельность всех лиц, вовлеченных в процесс обновления содержания образования».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Отметим и точку зрения А.М. Моисеева, определяющего инновационную деятельность как «деятельность по разработке, поиску, освоению и использованию новшеств, осуществлению нововведений».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И.Е. Пискарева, проанализировав различные подходы в понимании феномена инновационной деятельности, определяет ее как «деятельность, связанную с отказом от известных штампов, стереотипов в обучении, воспитании и развитии личности ученика, выходящую за рамки действующих нормативов, являющуюся основой личностно-творческой, индивидуально направленной деятельности педагога, воспитателя и создающую новые педагогические технологии, реализующие эту деятельность».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более всего нашему исследованию соответствует позиция      М.В. </w:t>
      </w:r>
      <w:proofErr w:type="spellStart"/>
      <w:r>
        <w:rPr>
          <w:sz w:val="28"/>
          <w:szCs w:val="28"/>
        </w:rPr>
        <w:t>Рац</w:t>
      </w:r>
      <w:proofErr w:type="spellEnd"/>
      <w:r>
        <w:rPr>
          <w:sz w:val="28"/>
          <w:szCs w:val="28"/>
        </w:rPr>
        <w:t xml:space="preserve"> и М.Т. Ойзермана, утверждающих, что «инновационная деятельность не есть деятельность какого-то особого типа (как научные исследования или проектирование), а представляет собой сложную связку, структуру из многих разнотипных деятельностей: это конструирование, обеспечивающая его наука, проектирование, мониторинг, программирование и прогнозирование». Трактуя инновации «как деятельность над деятельностью», они предлагают схему, включающую четыре слоя (снизу-вверх): деятельность, куда адресуется новшество; знания об этой деятельности; инновационная деятельность; </w:t>
      </w:r>
      <w:proofErr w:type="spellStart"/>
      <w:r>
        <w:rPr>
          <w:sz w:val="28"/>
          <w:szCs w:val="28"/>
        </w:rPr>
        <w:t>оргуправленческая</w:t>
      </w:r>
      <w:proofErr w:type="spellEnd"/>
      <w:r>
        <w:rPr>
          <w:sz w:val="28"/>
          <w:szCs w:val="28"/>
        </w:rPr>
        <w:t xml:space="preserve"> деятельность, объемлющая и удерживающая всю целостность ее мышления и деятельности.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в научном обиходе инновационная деятельность обычно трактуется как многофункциональная деятельность всех субъектов, вовлеченных в процесс обновления своей организации.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характеристик инновационной деятельности нам представляется уместным рассмотреть ее в параметрах творчества. Это вполне объяснимо, так как для отечественной педагогической науки традиционным является отожествление творческой и инновационной педагогической деятельности, то есть последняя, чаще всего, трактуется через аспект творческий, который служит двигателем инновации.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педагогов, обладающих творческим потенциалом, объединение их в творческие педагогические коллективы и постановка перед ними задач, в решении которых они могли бы раскрыть свои способности, - всего этого еще недостаточно для того, чтобы в образовательном учреждении мог осуществляться инновационный процесс. Этот потенциал должен быть реализован, что может произойти только в творческой организации.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инновационная деятельность часто также рассматривается через аспект творческой деятельности педагога. При этом отмечается, что «творческой является всякая деятельность, создающая нечто новое, оригинальное, что потом входит в историю развития не только самого творца, но и науки, искусства и т.д.».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Важнейшей чертой творческой деятельности является самостоятельный перенос знаний и умений в новую ситуацию. Он проявляется в том, что, решая какую-либо новую для себя проблему, субъект способен использовать давно усвоенные знания и умения для поиска решения. Это не всегда легко сделать, особенно если эти ранее усвоенные знания лежат в другой научной области, по отношению к решаемой проблеме.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Черты творческой деятельности проявляются не одновременно при решении каждой проблемы, а в различном сочетании и с разной силой.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наш взгляд, перечисленные критерии можно считать сущностью характеристиками инновационной деятельности, и мы можем утверждать, что она носит творческий характер, рассматривая при этом творчество как процесс разработки новшества, а нововведение - как централизованный управляемый процесс.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научной литературе прослеживается подход, рассматривающий инновационную, в том числе и творческую, деятельность как деятельность активных субъектов инновационного процесса. Такого субъектного подхода будем придерживаться и мы.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Категория субъекта является для нас методологической основой для дальнейшего анализа и определения инновационной деятельности педагогического коллектива, она служит для понимания механизма развития инновационных процессов, и поэтому ее стоит конкретизировать.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философии под субъектом (от лат. </w:t>
      </w:r>
      <w:proofErr w:type="spellStart"/>
      <w:r>
        <w:rPr>
          <w:sz w:val="28"/>
          <w:szCs w:val="28"/>
        </w:rPr>
        <w:t>subjectus</w:t>
      </w:r>
      <w:proofErr w:type="spellEnd"/>
      <w:r>
        <w:rPr>
          <w:sz w:val="28"/>
          <w:szCs w:val="28"/>
        </w:rPr>
        <w:t xml:space="preserve"> - лежащий внизу, находящийся в основе, от </w:t>
      </w:r>
      <w:proofErr w:type="spellStart"/>
      <w:r>
        <w:rPr>
          <w:sz w:val="28"/>
          <w:szCs w:val="28"/>
        </w:rPr>
        <w:t>sub</w:t>
      </w:r>
      <w:proofErr w:type="spellEnd"/>
      <w:r>
        <w:rPr>
          <w:sz w:val="28"/>
          <w:szCs w:val="28"/>
        </w:rPr>
        <w:t xml:space="preserve"> - под и </w:t>
      </w:r>
      <w:proofErr w:type="spellStart"/>
      <w:r>
        <w:rPr>
          <w:sz w:val="28"/>
          <w:szCs w:val="28"/>
        </w:rPr>
        <w:t>jacio</w:t>
      </w:r>
      <w:proofErr w:type="spellEnd"/>
      <w:r>
        <w:rPr>
          <w:sz w:val="28"/>
          <w:szCs w:val="28"/>
        </w:rPr>
        <w:t xml:space="preserve"> - бросаю, кладу основание), понимается носитель предметно-практической деятельности и познания (индивид или социальная группа), источник активности, направленной на объект.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является одной из ведущих характеристик субъекта деятельности, поэтому для нашего исследования существенным является определение активности индивида или группы. Под активностью мы будем понимать способность социального субъекта изменять и преобразовывать окружающую действительность - способность, которая оценивается со стороны объективной результативности этого преобразования, меры фактического участия субъекта в тех или иных видах социальной деятельности, включая и инновационную.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К.А. </w:t>
      </w:r>
      <w:proofErr w:type="spellStart"/>
      <w:r>
        <w:rPr>
          <w:sz w:val="28"/>
          <w:szCs w:val="28"/>
        </w:rPr>
        <w:t>Абульхановой-Славской</w:t>
      </w:r>
      <w:proofErr w:type="spellEnd"/>
      <w:r>
        <w:rPr>
          <w:sz w:val="28"/>
          <w:szCs w:val="28"/>
        </w:rPr>
        <w:t xml:space="preserve">, позицию субъекта можно рассматривать как комплексную характеристику психологических </w:t>
      </w:r>
      <w:r>
        <w:rPr>
          <w:sz w:val="28"/>
          <w:szCs w:val="28"/>
        </w:rPr>
        <w:lastRenderedPageBreak/>
        <w:t>режимов деятельности в соответствии со способностями, состояниями, отношением субъекта к задаче, его стратегией, тактикой и объективной динамикой деятельности.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научные исследования о различных сторонах инновационной деятельности в образовании, мы отмечаем факт единодушного отнесения к ее субъектам педагогов, воспитанников, иногда родителей, реже - руководителей, и в то же время отмечаем не разработанность вопроса о коллективном субъекте (группах учителей, управленческой команде, педагогическом коллективе) инновационной деятельности образовательной организации.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и диссертационных исследований показывает, что подавляющая их часть посвящена исследованию различных аспектов инновационной деятельности ее индивидуальных субъектов - педагогов, воспитателей, руководителей образовательных организаций.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уважением относясь к авторам и к их научным исследованиям, посвященным индивидуальным субъектам инновационной деятельности, в то же время считаем, что, в отличие от большинства других профессий, в первую очередь в социальной сфере, где результат является следствием деятельности одного человека (например, врача, библиотекаря и т.п.), в педагогической деятельности результат является совокупным, коллективным итогом деятельности всех участников педагогического процесса.</w:t>
      </w:r>
      <w:proofErr w:type="gramEnd"/>
      <w:r>
        <w:rPr>
          <w:sz w:val="28"/>
          <w:szCs w:val="28"/>
        </w:rPr>
        <w:t xml:space="preserve"> В педагогической деятельности практически невозможно установить вклад отдельного педагога, каждого сотрудника образовательного учреждения, родителя, семьи в целом, иных источников воспитательного воздействия в качественное преобразование субъекта деятельности - воспитанника.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принципа деятельности в отечественной науке теснейшим образом связано с начавшейся в 20-30-е гг. XX в. эволюцией представлений о природе и закономерностях формирования так называемых «малых социальных общностей». В это время на смену </w:t>
      </w:r>
      <w:r>
        <w:rPr>
          <w:sz w:val="28"/>
          <w:szCs w:val="28"/>
        </w:rPr>
        <w:lastRenderedPageBreak/>
        <w:t xml:space="preserve">механистическому пониманию группы и коллектива как некоего социального агрегата, образованного простой совокупностью индивидов, постепенно утверждается представление о целостной, интегративной природе внутригрупповых явлений и процессов. Исходным пунктом рассуждений становится уже не сам по себе факт соприсутствия индивидов, а наличие, в смысле формирования и развития, сложных содержательных взаимосвязей между ними. Характерно, что в качестве одной из центральных категорий при изучении развития коллектива в эти годы выдвигается понятие так называемого «меж индивидуального взаимодействия» (Б.В. Беляев, В.М. Бехтерев, Н.Н. Быстров и др.).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соотношения общественного и индивидуального в деятельности заключает в себе идею активной жизненной позиции, поскольку вне общественных устремлений личности, по мнению Б.Ф Ломова, обедняется любой вид деятельности. Речь в данном случае идет о проблеме совместной деятельности, которая для педагогического процесса является весьма важной, так как именно в ней обнаруживается значение индивидуальной деятельности, привносящей в общую деятельность своеобразие, обогащающее коллективную деятельность.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При этом важно понимать, что мы вправе говорить об индивидуальной педагогической деятельности, но в то же время ее общий конечный результат носит коллективный характер и является результатом деятельности коллективного субъекта - педагогического коллектива.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 тот факт, что в своих трудах В.А. Сухомлинский сформулировал следующие основные принципы коллективной организации деятельности педагогов: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к определенной проблеме учебно-воспитательной работы;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освоение проблем, разработанных педагогической наукой, каждый раз открывающихся перед творчески работающим педагогом по-новому, как только он становится посредником между теорией и практикой;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важнейших обобщений, навыков и умений, которыми должны овладевать воспитанники;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индивидуальных интересов, способностей и возможностей педагогов и рациональное использование их в процессе учебно-воспитательной работы.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объединения педагогов в коллектив является их совместная деятельность. По мнению Б.Ф. Ломова, «содержание совместной деятельности значительно богаче индивидуальной. Каждый участник этой деятельности вносит в нее свой уникальный опыт, которым не обладает никто другой, кроме него».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согласны с Н.С. </w:t>
      </w:r>
      <w:proofErr w:type="spellStart"/>
      <w:r>
        <w:rPr>
          <w:sz w:val="28"/>
          <w:szCs w:val="28"/>
        </w:rPr>
        <w:t>Дежниковой</w:t>
      </w:r>
      <w:proofErr w:type="spellEnd"/>
      <w:r>
        <w:rPr>
          <w:sz w:val="28"/>
          <w:szCs w:val="28"/>
        </w:rPr>
        <w:t xml:space="preserve"> в том, что далеко не всякая совместная деятельность является коллективной, по существу. Характерной особенностью коллективной организации работы является использование в ее процессе такой системы коммуникаций, которая дает педагогам возможность обмениваться мнениями и наблюдениями, соотносить свои взгляды и оценки с точкой зрения других педагогов.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дальнейшего анализа деятельности, уместным в своем исследовании раскрыть такие понятия, как «коллективная деятельность» и «деятельность в коллективе», подразумевающая под собой, по сути, индивидуальную деятельность.</w:t>
      </w:r>
      <w:proofErr w:type="gramEnd"/>
      <w:r>
        <w:rPr>
          <w:sz w:val="28"/>
          <w:szCs w:val="28"/>
        </w:rPr>
        <w:t xml:space="preserve"> Не вызывает сомнения, что не всякая деятельность, которая формально протекает в коллективе, по существу является коллективной.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рассуждениях об индивидуальной деятельности Б.Ф. Ломов отмечал: «Строго говоря, любая индивидуальная деятельность является составной частью деятельности совместной. Поэтому в принципе исходный пункт анализа индивидуальной деятельности состоит в том, чтобы определить ее место в деятельности совместной, а соответственно </w:t>
      </w:r>
      <w:r>
        <w:rPr>
          <w:sz w:val="28"/>
          <w:szCs w:val="28"/>
        </w:rPr>
        <w:lastRenderedPageBreak/>
        <w:t>и функцию данного индивида в группе. Конечно, с целью научного исследования можно индивидуальную деятельность «вырезать» из общего контекста и рассматривать ее изолированно. Но при этом неизбежно картина становится неполной. Вообще, вряд ли возможно (и особенно в условиях современного общества) найти такую деятельность, в которой бы индивид, подобно Робинзону, все от начала и до конца делал сам».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отличить индивидуальную деятельность педагогов в коллективе от их коллективной деятельности, необходимо определить характерную деятельность, которая формально протекает в коллективе, по существу является коллективной.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Можно себе представить деятельность, которая хотя и происходит в условиях коллектива, но по своему характеру является сугубо индивидуальной.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деятельность педагогов является коллективной, если: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планируемый результат деятельности осознается как единый, требующий объединения усилий всех членов коллектива;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деятельности предполагает четкое и однозначно понимаемое разделение функционала;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в процессе деятельности формируется положительный эмоционально-психологический климат,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управленческая функция контроля перерастает в самоконтроль и самоорганизацию самих членов коллектива.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специальной литературы позволил нам сделать вывод о том, что в современной педагогической и психологической науке не только не существует общепринятого понимания «коллективного субъекта», но и отсутствует какое-либо толкование, получившее широкое распространение. Это дает нам основание, обратившись к результатам последних исследований, посвященных коллективному субъекту, взять их за основу с целью определения сущности инновационной </w:t>
      </w:r>
      <w:r>
        <w:rPr>
          <w:sz w:val="28"/>
          <w:szCs w:val="28"/>
        </w:rPr>
        <w:lastRenderedPageBreak/>
        <w:t>деятельности педагогического коллектива, рассматриваемого нами в качестве одного из коллективных субъектов учебно-воспитательного процесса в образовательном учреждении.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 за А.В. </w:t>
      </w:r>
      <w:proofErr w:type="spellStart"/>
      <w:r>
        <w:rPr>
          <w:sz w:val="28"/>
          <w:szCs w:val="28"/>
        </w:rPr>
        <w:t>Коптеловым</w:t>
      </w:r>
      <w:proofErr w:type="spellEnd"/>
      <w:r>
        <w:rPr>
          <w:sz w:val="28"/>
          <w:szCs w:val="28"/>
        </w:rPr>
        <w:t xml:space="preserve"> под «коллективным субъектом» мы будем понимать «всякую совместно действующую или ведущую себя группу людей. При этом всякая совокупность людей, проявляющая себя через любые формы поведения, отношения, деятельности, общения, взаимодействия и т.п., есть коллективный субъект».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коллективного субъекта будет явно недостаточным, если не обозначить те сущностные признаки коллектива, которые делают его коллективным субъектом. Результаты последних исследований позволяют нам выделить три важнейших признака группы, являющихся необходимыми и фактически </w:t>
      </w:r>
      <w:proofErr w:type="spellStart"/>
      <w:r>
        <w:rPr>
          <w:sz w:val="28"/>
          <w:szCs w:val="28"/>
        </w:rPr>
        <w:t>критериальными</w:t>
      </w:r>
      <w:proofErr w:type="spellEnd"/>
      <w:r>
        <w:rPr>
          <w:sz w:val="28"/>
          <w:szCs w:val="28"/>
        </w:rPr>
        <w:t xml:space="preserve"> в описании коллективного субъекта. Ими являются: взаимосвязанность и взаимозависимость членов группы; совместная активность; способность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групповой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дополнение к обозначенным уже трем характеристикам нам представляется уместным добавить еще одну - инновационный потенциал.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Обоснуем выбор этой характеристики более подробно. Под инновационным потенциалом педагогического коллектива в науке понимается «его способность к саморазвитию и реализации в сфере образования инновационных идей, проектов и технологий». Развивая данное понятие, считаем, что существующие характеристики инновационного потенциала педагогического коллектива можно дополнить следующими понятиями: способностью создавать и воспринимать новшества, а также своевременным отказом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устаревшего, педагогически нецелесообразного.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собственного опыта и анализа специальной литературы мы считаем целесообразным выделение трех уровней инновационного потенциала педагогического коллектива: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- коллектив не способен разрабатывать и адаптировать у себя известные новшества, способствующие и развивающие воспитательную систему образовательного учреждения. Возможны лишь единичные, частные, так называемые «локальные» (Т.М. Ковалева) новшества на индивидуальном педагогическом уровне;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средний уровень - педагогический коллектив способен не только адаптировать у себя известные новшества, но также их комбинировать, приводя тем самым к изменению отдельные блоки воспитательной системы;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- педагогический коллектив сам способен разрабатывать новшества и экспериментально их проверять. При этом разрабатываемые или применяемые новшества могут приводить к изменению всей воспитательной системы образовательного учреждения в целом.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Обозначенные уровни инновационного потенциала педагогического коллектива существенным образом зависят от управления им, уровня квалификации и профессиональной подготовки членов педагогического коллектива, особенностей ближайшего социального окружения,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социального заказа, участия общественности в процессе управления образовательным учреждением.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инновационного потенциала также в существенной степени будет зависеть от источника предлагаемых к разработке или реализации инновационных идей и инициатив. Данные источники могут быть внешними и внутренними. К первым относятся нормативные документы, существующие уже концепции, научно-методические разработки; социальный заказ ближайшего окружения. Внутренними источниками могут выступать руководители образовательного </w:t>
      </w:r>
      <w:r>
        <w:rPr>
          <w:sz w:val="28"/>
          <w:szCs w:val="28"/>
        </w:rPr>
        <w:lastRenderedPageBreak/>
        <w:t xml:space="preserve">учреждения, отдельные воспитатели, учителя, группы, субъекта деятельности - педагогическом коллективе образовательного учреждения. </w:t>
      </w:r>
    </w:p>
    <w:p w:rsidR="0033123B" w:rsidRDefault="0033123B" w:rsidP="0033123B">
      <w:pPr>
        <w:spacing w:line="360" w:lineRule="auto"/>
        <w:ind w:left="300" w:right="300" w:firstLine="375"/>
        <w:jc w:val="both"/>
        <w:rPr>
          <w:sz w:val="28"/>
          <w:szCs w:val="28"/>
        </w:rPr>
      </w:pPr>
      <w:r>
        <w:rPr>
          <w:sz w:val="28"/>
          <w:szCs w:val="28"/>
        </w:rPr>
        <w:t>На основе вышесказанного сформулировали рабочее понятие инновационной деятельности педагогического коллектива, которую мы определяем, как полифункциональную деятельность коллективного субъекта (педагогического коллектива) по достижению им нового результата совместной деятельности посредством новизны процесса, с помощью которого этот результат достигается.</w:t>
      </w:r>
    </w:p>
    <w:p w:rsidR="0033123B" w:rsidRDefault="0033123B" w:rsidP="0033123B">
      <w:pPr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>Проектирование как средство управления инновационной деятельностью педагогического коллектива образовательной организации</w:t>
      </w:r>
    </w:p>
    <w:p w:rsidR="0033123B" w:rsidRDefault="0033123B" w:rsidP="0033123B">
      <w:pPr>
        <w:spacing w:line="360" w:lineRule="auto"/>
        <w:jc w:val="both"/>
        <w:rPr>
          <w:b/>
        </w:rPr>
      </w:pP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Проектирование деятельности образовательной организации. Метод проектов не является принципиально новым в педагогической и управленческой практике, но вместе с тем его сегодня относят к педагогическим и управленческим технологиям XXI века как метод, предусматривающий умение адаптироваться в стремительно изменяющихся социально-экономических условиях. «Брошенный вперед» – таков точный перевод с латинского слова «проект». В основе метода проектов лежит креативность, умение ориентироваться в информационном пространстве и самостоятельно конструировать свои знания. 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 проектированием систем в самом общем виде понимается специальная, концептуально обоснованная и технологически обеспеченная деятельность по созданию желаемого образа будущей системы – проекта системы развития образовательной организации. 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Проектирование – наиболее радикальный способ обновления существующей практики, необходимая и весьма продуктивная форма осуществления нововведений в организации. 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Технология проектирования состоит из 4 стадий: 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концептуальной (выявление противоречия, проблемной ситуации, определение цели, выбор критериев); 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моделирования (построение моделей, оптимизация моделей, выбор эффективной модели – принятие решения); 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конструирования (определение конкретных способов и средств реализации выбранной модели в рамках имеющихся условий, построение программы реализации модели образовательной системы); 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технологической подготовки (подготовка рабочих материалов, необходимых для реализации спроектированной системы: учебно-программной документации, методических разработок, программного обеспечения, должностных инструкций исполнителей при реализации сложного проекта и т. п.): 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технологическая фаза (технология – это система форм, методов и средств решения поставленной задачи), результатом которой является реализация системы; 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рефлексивная фаза, результатом которой является оценка реализованной системы и определение необходимости либо ее дальнейшей коррекции, либо «запуска» нового проекта. 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Инвариантными частями проекта являются проблема, цель, задачи, конкретные результаты проекта, мероприятия (методы работы по реализации проекта), ресурсы. Между этими частями существуют тесные взаимосвязи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1- Взаимосвязь частей проекта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123B" w:rsidTr="0033123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Взаимосвязь частей проекта</w:t>
            </w:r>
          </w:p>
        </w:tc>
      </w:tr>
      <w:tr w:rsidR="0033123B" w:rsidTr="0033123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Проблема (потребность)</w:t>
            </w:r>
          </w:p>
        </w:tc>
      </w:tr>
      <w:tr w:rsidR="0033123B" w:rsidTr="003312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 направлена на решение проблемы (удовлетворение потребностей)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3123B" w:rsidTr="003312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Выполнение задачи – необходимый шаг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пути к достижению цели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Задачи и конкретные Результаты проекта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Внешние условия (факторы,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предпосылки), неподконтрольные исполнителям проекта, влияние которых необходимо учитывать, чтобы выполнение задач служило продвижению к цели.</w:t>
            </w:r>
          </w:p>
        </w:tc>
      </w:tr>
      <w:tr w:rsidR="0033123B" w:rsidTr="003312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Мероприятия – действия, направленные на получение результата и выполнение задач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(методы работы в рамках проекта)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Внешние условия, неподконтрольные исполнителям проекта, влияние которых необходимо учитывать, чтобы осуществление мероприятий вело к выполнению задач и получению результатов.</w:t>
            </w:r>
          </w:p>
        </w:tc>
      </w:tr>
      <w:tr w:rsidR="0033123B" w:rsidTr="003312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Ресурсы – средства, необходимые для проведения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Ресурсы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(информационные; кадровые (участники проектирования, их знания, умения, навыки); мотивационные (необходимые установки, отношение к работе); организационно-управленческие;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концептуальные; технологические; финансовые; материально-технические; нормативно-правовые)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Внешние условия, неподконтрольные исполнителям проекта, влияние которых необходимо учитывать при выборе ресурсов для успешного осуществления мероприятий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условиями применения метода проектов являются следующие: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Существование некой значимой проблемы, требующей решения путем исследовательского (творческого) поиска и применения интегрированного знания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Значимость предполагаемых результатов (практическая, теоретическая, познавательная)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Применение исследовательских (творческих) методов при проектировании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Структурирование этапов выполнения проекта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Самостоятельная деятельность субъектов проектирования в ситуации выбора.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разработки проекта развития образовательного учреждения.</w:t>
      </w:r>
    </w:p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2 - Этапы разработки проекта развития образовательного учреждения</w:t>
      </w:r>
    </w:p>
    <w:tbl>
      <w:tblPr>
        <w:tblStyle w:val="a3"/>
        <w:tblW w:w="9581" w:type="dxa"/>
        <w:tblInd w:w="0" w:type="dxa"/>
        <w:tblLook w:val="04A0" w:firstRow="1" w:lastRow="0" w:firstColumn="1" w:lastColumn="0" w:noHBand="0" w:noVBand="1"/>
      </w:tblPr>
      <w:tblGrid>
        <w:gridCol w:w="3122"/>
        <w:gridCol w:w="3101"/>
        <w:gridCol w:w="3358"/>
      </w:tblGrid>
      <w:tr w:rsidR="0033123B" w:rsidTr="0033123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Название этапов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Задачи каждого этапа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Операции, процедуры</w:t>
            </w:r>
          </w:p>
        </w:tc>
      </w:tr>
      <w:tr w:rsidR="0033123B" w:rsidTr="0033123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3123B" w:rsidTr="0033123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е проектированию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 w:rsidP="001C361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Оценить управленческую ситуацию</w:t>
            </w:r>
          </w:p>
          <w:p w:rsidR="0033123B" w:rsidRDefault="0033123B" w:rsidP="001C361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Признать необходимость проектирования, определить задачи</w:t>
            </w:r>
          </w:p>
          <w:p w:rsidR="0033123B" w:rsidRDefault="0033123B" w:rsidP="001C361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Разработать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концепции проектирования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Предварительная оценка проблем противоречий в объекте; 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определение предметов анализа;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описание тех сторон объекта, которые необходимы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достаточны для инновационного исследования содержащихся в нем проблем; 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разработка концепции проектирования, установление целей и различных условий проектирования составление плана осуществления проектирования;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формирование проектной группы – 5–7 человек, 1–2 консультанта (эксперта); 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разделение труда в проектной группе</w:t>
            </w:r>
          </w:p>
        </w:tc>
      </w:tr>
      <w:tr w:rsidR="0033123B" w:rsidTr="0033123B">
        <w:trPr>
          <w:trHeight w:val="77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Предпроектный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анализ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 w:rsidP="001C361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Исследовать и проанализировать состояние объекта</w:t>
            </w:r>
          </w:p>
          <w:p w:rsidR="0033123B" w:rsidRDefault="0033123B" w:rsidP="001C361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Выработать предложение по развитию объекта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Анализ образовательной системы, стратегических её направлений её развития;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анализ всех элементов системы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управления, их роли, места, соответствия социальному заказу и потребностям управляемого объекта; 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оценка фактического состояния системы управления образовательным учреждением, ее потенциальных возможностей в связи с предполагаемыми изменениями;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предложения по развитию</w:t>
            </w:r>
          </w:p>
        </w:tc>
      </w:tr>
      <w:tr w:rsidR="0033123B" w:rsidTr="0033123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Выработка проектных решений разработка программы действий по их выполнению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 w:rsidP="001C361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Разработать пакет проектных решений, перестроечных программ и системы изменения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Выработка, анализ, оценка альтернатив критический анализ;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формирование проектных групп; расширение спектра альтернатив, выбор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доминанты;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принятие и формулирование решений;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обсуждение, определение программы действий;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документальное оформление</w:t>
            </w:r>
          </w:p>
        </w:tc>
      </w:tr>
      <w:tr w:rsidR="0033123B" w:rsidTr="0033123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Системное изменение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 w:rsidP="001C361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Разработать механизмы изменения объекта </w:t>
            </w:r>
          </w:p>
          <w:p w:rsidR="0033123B" w:rsidRDefault="0033123B" w:rsidP="001C361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Устранить барьеры на пути внедрения проекта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Формирование целей изменения системы; определение реально существующих средств изменения объекта;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моделирование изменений;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конструирование механизмов этого изменения;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проверка предлагаемых средств на модели; информирование, инструктажи, обучение, урегулирование конфликтов и др.</w:t>
            </w:r>
          </w:p>
        </w:tc>
      </w:tr>
      <w:tr w:rsidR="0033123B" w:rsidTr="0033123B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Маркетизация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результатов проектирования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 w:rsidP="001C361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Обобщить результаты проектирования.</w:t>
            </w:r>
          </w:p>
          <w:p w:rsidR="0033123B" w:rsidRDefault="0033123B" w:rsidP="001C361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Информировать заинтересованные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стороны о поведённой деятельности и её эффективности.</w:t>
            </w:r>
          </w:p>
          <w:p w:rsidR="0033123B" w:rsidRDefault="0033123B" w:rsidP="001C361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Установить связи и отношения с исполнителями.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Систематизация проверенных знаний об исходном и измененном стояниях объекта, о механизмах и способах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перевода объекта из одного состояния в другое;</w:t>
            </w:r>
          </w:p>
          <w:p w:rsidR="0033123B" w:rsidRDefault="0033123B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Разработка системы методик для исполнений.</w:t>
            </w:r>
          </w:p>
        </w:tc>
      </w:tr>
    </w:tbl>
    <w:p w:rsidR="0033123B" w:rsidRDefault="0033123B" w:rsidP="0033123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Третий этап – самый трудоемкий этап, так как он предполагает выработку продуктов инновационной деятельности: проекта, модели новшества; коллективные усилия и умственное напряжение каждого, кто связан с разработкой новшества.</w:t>
      </w:r>
    </w:p>
    <w:p w:rsidR="0033123B" w:rsidRDefault="0033123B" w:rsidP="0033123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 этап. Освоение новшества в практической работе, его использование другими людьми. Представляет собой педагогический эксперимент и опытно-экспериментальную работу. Инновационная деятельность носит вероятностный характер, она </w:t>
      </w:r>
      <w:proofErr w:type="spellStart"/>
      <w:r>
        <w:rPr>
          <w:rFonts w:eastAsiaTheme="minorHAnsi"/>
          <w:sz w:val="28"/>
          <w:szCs w:val="28"/>
          <w:lang w:eastAsia="en-US"/>
        </w:rPr>
        <w:t>затратна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интеллектуальном плане, с точки зрения использования ресурсов. Для успешной реализации инноваций требуются особые условия, выделение дополнительных ресурсов, создание ситуации инновационной поддержки, инновационного обеспечения. Инновационная деятельность качественно отличается от всех других видов деятельности. В связи с этим она подлежит только профессионально грамотному, научно обоснованному управлению. </w:t>
      </w:r>
    </w:p>
    <w:p w:rsidR="00370977" w:rsidRDefault="00370977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Pr="0033123B" w:rsidRDefault="0033123B" w:rsidP="00331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3123B">
        <w:rPr>
          <w:b/>
          <w:sz w:val="28"/>
          <w:szCs w:val="28"/>
        </w:rPr>
        <w:lastRenderedPageBreak/>
        <w:t>СПИСОК ИСПОЛЬЗОВАННОЙ ЛИТЕРАТУРЫ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r w:rsidRPr="0033123B">
        <w:rPr>
          <w:sz w:val="28"/>
          <w:szCs w:val="28"/>
        </w:rPr>
        <w:t xml:space="preserve">Абрамов А.М., </w:t>
      </w:r>
      <w:proofErr w:type="spellStart"/>
      <w:r w:rsidRPr="0033123B">
        <w:rPr>
          <w:sz w:val="28"/>
          <w:szCs w:val="28"/>
        </w:rPr>
        <w:t>Грабиленков</w:t>
      </w:r>
      <w:proofErr w:type="spellEnd"/>
      <w:r w:rsidRPr="0033123B">
        <w:rPr>
          <w:sz w:val="28"/>
          <w:szCs w:val="28"/>
        </w:rPr>
        <w:t xml:space="preserve"> М.В. Российское образование в </w:t>
      </w:r>
      <w:r w:rsidRPr="0033123B">
        <w:rPr>
          <w:sz w:val="28"/>
          <w:szCs w:val="28"/>
        </w:rPr>
        <w:sym w:font="Symbol" w:char="F043"/>
      </w:r>
      <w:r w:rsidRPr="0033123B">
        <w:rPr>
          <w:sz w:val="28"/>
          <w:szCs w:val="28"/>
        </w:rPr>
        <w:sym w:font="Symbol" w:char="F043"/>
      </w:r>
      <w:r w:rsidRPr="0033123B">
        <w:rPr>
          <w:sz w:val="28"/>
          <w:szCs w:val="28"/>
        </w:rPr>
        <w:sym w:font="Symbol" w:char="F049"/>
      </w:r>
      <w:r w:rsidRPr="0033123B">
        <w:rPr>
          <w:sz w:val="28"/>
          <w:szCs w:val="28"/>
        </w:rPr>
        <w:t xml:space="preserve"> веке: новые рубежи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 xml:space="preserve"> А.М. Абрамов, </w:t>
      </w:r>
      <w:proofErr w:type="spellStart"/>
      <w:r w:rsidRPr="0033123B">
        <w:rPr>
          <w:sz w:val="28"/>
          <w:szCs w:val="28"/>
        </w:rPr>
        <w:t>М.В.Грабиленков</w:t>
      </w:r>
      <w:proofErr w:type="spellEnd"/>
      <w:r w:rsidRPr="0033123B">
        <w:rPr>
          <w:sz w:val="28"/>
          <w:szCs w:val="28"/>
        </w:rPr>
        <w:t>-М., 2001.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proofErr w:type="spellStart"/>
      <w:r w:rsidRPr="0033123B">
        <w:rPr>
          <w:sz w:val="28"/>
          <w:szCs w:val="28"/>
        </w:rPr>
        <w:t>Акмалов</w:t>
      </w:r>
      <w:proofErr w:type="spellEnd"/>
      <w:r w:rsidRPr="0033123B">
        <w:rPr>
          <w:sz w:val="28"/>
          <w:szCs w:val="28"/>
        </w:rPr>
        <w:t xml:space="preserve"> А.Ю. Современная парадигма педагогических технологий. 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r w:rsidRPr="0033123B">
        <w:rPr>
          <w:sz w:val="28"/>
          <w:szCs w:val="28"/>
        </w:rPr>
        <w:t>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 xml:space="preserve"> </w:t>
      </w:r>
      <w:proofErr w:type="spellStart"/>
      <w:r w:rsidRPr="0033123B">
        <w:rPr>
          <w:sz w:val="28"/>
          <w:szCs w:val="28"/>
        </w:rPr>
        <w:t>А.Ю.Акмалов</w:t>
      </w:r>
      <w:proofErr w:type="spellEnd"/>
      <w:r w:rsidRPr="0033123B">
        <w:rPr>
          <w:sz w:val="28"/>
          <w:szCs w:val="28"/>
        </w:rPr>
        <w:t xml:space="preserve"> – Челябинск: Околица, 2003. 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r w:rsidRPr="0033123B">
        <w:rPr>
          <w:sz w:val="28"/>
          <w:szCs w:val="28"/>
        </w:rPr>
        <w:t xml:space="preserve">Аксененко Ю.Н. Социология и психология управления: учеб пособие для вузов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>Ю.Н. Аксененко</w:t>
      </w:r>
      <w:proofErr w:type="gramStart"/>
      <w:r w:rsidRPr="0033123B">
        <w:rPr>
          <w:sz w:val="28"/>
          <w:szCs w:val="28"/>
        </w:rPr>
        <w:t xml:space="preserve">,, </w:t>
      </w:r>
      <w:proofErr w:type="spellStart"/>
      <w:proofErr w:type="gramEnd"/>
      <w:r w:rsidRPr="0033123B">
        <w:rPr>
          <w:sz w:val="28"/>
          <w:szCs w:val="28"/>
        </w:rPr>
        <w:t>В.Н.Каспарян</w:t>
      </w:r>
      <w:proofErr w:type="spellEnd"/>
      <w:r w:rsidRPr="0033123B">
        <w:rPr>
          <w:sz w:val="28"/>
          <w:szCs w:val="28"/>
        </w:rPr>
        <w:t xml:space="preserve">; под общей редакцией </w:t>
      </w:r>
      <w:proofErr w:type="spellStart"/>
      <w:r w:rsidRPr="0033123B">
        <w:rPr>
          <w:sz w:val="28"/>
          <w:szCs w:val="28"/>
        </w:rPr>
        <w:t>С.Н.Епифанцева</w:t>
      </w:r>
      <w:proofErr w:type="spellEnd"/>
      <w:r w:rsidRPr="0033123B">
        <w:rPr>
          <w:sz w:val="28"/>
          <w:szCs w:val="28"/>
        </w:rPr>
        <w:t>. – Ростов  В.В., н/Д.: Феникс, 2001.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proofErr w:type="spellStart"/>
      <w:r w:rsidRPr="0033123B">
        <w:rPr>
          <w:sz w:val="28"/>
          <w:szCs w:val="28"/>
        </w:rPr>
        <w:t>Амонашвили</w:t>
      </w:r>
      <w:proofErr w:type="spellEnd"/>
      <w:r w:rsidRPr="0033123B">
        <w:rPr>
          <w:sz w:val="28"/>
          <w:szCs w:val="28"/>
        </w:rPr>
        <w:t xml:space="preserve"> Ш.А. Личностно-гуманная основа педагогического процесса.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sym w:font="Symbol" w:char="F02F"/>
      </w:r>
      <w:proofErr w:type="spellStart"/>
      <w:r w:rsidRPr="0033123B">
        <w:rPr>
          <w:sz w:val="28"/>
          <w:szCs w:val="28"/>
        </w:rPr>
        <w:t>Ш.А.Амонашвили</w:t>
      </w:r>
      <w:proofErr w:type="spellEnd"/>
      <w:r w:rsidRPr="0033123B">
        <w:rPr>
          <w:sz w:val="28"/>
          <w:szCs w:val="28"/>
        </w:rPr>
        <w:t xml:space="preserve"> – Минск, 1990.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proofErr w:type="spellStart"/>
      <w:r w:rsidRPr="0033123B">
        <w:rPr>
          <w:sz w:val="28"/>
          <w:szCs w:val="28"/>
        </w:rPr>
        <w:t>Болотов</w:t>
      </w:r>
      <w:proofErr w:type="spellEnd"/>
      <w:r w:rsidRPr="0033123B">
        <w:rPr>
          <w:sz w:val="28"/>
          <w:szCs w:val="28"/>
        </w:rPr>
        <w:t xml:space="preserve"> В.А., Сериков </w:t>
      </w:r>
      <w:proofErr w:type="spellStart"/>
      <w:r w:rsidRPr="0033123B">
        <w:rPr>
          <w:sz w:val="28"/>
          <w:szCs w:val="28"/>
        </w:rPr>
        <w:t>Компетентностная</w:t>
      </w:r>
      <w:proofErr w:type="spellEnd"/>
      <w:r w:rsidRPr="0033123B">
        <w:rPr>
          <w:sz w:val="28"/>
          <w:szCs w:val="28"/>
        </w:rPr>
        <w:t xml:space="preserve"> модель: от идеи к образовательной программе.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t xml:space="preserve"> </w:t>
      </w:r>
      <w:r w:rsidRPr="0033123B">
        <w:rPr>
          <w:sz w:val="28"/>
          <w:szCs w:val="28"/>
        </w:rPr>
        <w:sym w:font="Symbol" w:char="F02F"/>
      </w:r>
      <w:proofErr w:type="spellStart"/>
      <w:r w:rsidRPr="0033123B">
        <w:rPr>
          <w:sz w:val="28"/>
          <w:szCs w:val="28"/>
        </w:rPr>
        <w:t>В.А.Болотов</w:t>
      </w:r>
      <w:proofErr w:type="spellEnd"/>
      <w:r w:rsidRPr="0033123B">
        <w:rPr>
          <w:sz w:val="28"/>
          <w:szCs w:val="28"/>
        </w:rPr>
        <w:t xml:space="preserve">, </w:t>
      </w:r>
      <w:proofErr w:type="spellStart"/>
      <w:r w:rsidRPr="0033123B">
        <w:rPr>
          <w:sz w:val="28"/>
          <w:szCs w:val="28"/>
        </w:rPr>
        <w:t>В.В.Сериков</w:t>
      </w:r>
      <w:proofErr w:type="spellEnd"/>
      <w:r w:rsidRPr="0033123B">
        <w:rPr>
          <w:sz w:val="28"/>
          <w:szCs w:val="28"/>
        </w:rPr>
        <w:t xml:space="preserve"> – Педагогика№10,2003.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r w:rsidRPr="0033123B">
        <w:rPr>
          <w:sz w:val="28"/>
          <w:szCs w:val="28"/>
        </w:rPr>
        <w:t>Боровиков Л.И. Профессиональный онтогенез личности учителя</w:t>
      </w:r>
    </w:p>
    <w:p w:rsidR="0033123B" w:rsidRPr="0033123B" w:rsidRDefault="0033123B" w:rsidP="0033123B">
      <w:pPr>
        <w:spacing w:after="200" w:line="360" w:lineRule="auto"/>
        <w:ind w:left="720"/>
        <w:contextualSpacing/>
        <w:jc w:val="both"/>
        <w:rPr>
          <w:sz w:val="28"/>
          <w:szCs w:val="28"/>
        </w:rPr>
      </w:pPr>
      <w:r w:rsidRPr="0033123B">
        <w:rPr>
          <w:sz w:val="28"/>
          <w:szCs w:val="28"/>
        </w:rPr>
        <w:t>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t xml:space="preserve"> </w:t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 xml:space="preserve"> </w:t>
      </w:r>
      <w:proofErr w:type="spellStart"/>
      <w:r w:rsidRPr="0033123B">
        <w:rPr>
          <w:sz w:val="28"/>
          <w:szCs w:val="28"/>
        </w:rPr>
        <w:t>Л.И.Боровиков</w:t>
      </w:r>
      <w:proofErr w:type="spellEnd"/>
      <w:r w:rsidRPr="0033123B">
        <w:rPr>
          <w:sz w:val="28"/>
          <w:szCs w:val="28"/>
        </w:rPr>
        <w:t xml:space="preserve"> //Проблемы психолого-педагогического обеспечения образовательных программ. – Новосибирск, 1998.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r w:rsidRPr="0033123B">
        <w:rPr>
          <w:sz w:val="28"/>
          <w:szCs w:val="28"/>
        </w:rPr>
        <w:t xml:space="preserve">Волкова Е.Н. </w:t>
      </w:r>
      <w:proofErr w:type="spellStart"/>
      <w:r w:rsidRPr="0033123B">
        <w:rPr>
          <w:sz w:val="28"/>
          <w:szCs w:val="28"/>
        </w:rPr>
        <w:t>Субъектность</w:t>
      </w:r>
      <w:proofErr w:type="spellEnd"/>
      <w:r w:rsidRPr="0033123B">
        <w:rPr>
          <w:sz w:val="28"/>
          <w:szCs w:val="28"/>
        </w:rPr>
        <w:t xml:space="preserve"> педагога: теория и практика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t xml:space="preserve"> </w:t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 xml:space="preserve"> </w:t>
      </w:r>
      <w:proofErr w:type="spellStart"/>
      <w:r w:rsidRPr="0033123B">
        <w:rPr>
          <w:sz w:val="28"/>
          <w:szCs w:val="28"/>
        </w:rPr>
        <w:t>Е.Н.Волкова</w:t>
      </w:r>
      <w:proofErr w:type="spellEnd"/>
      <w:r w:rsidRPr="0033123B">
        <w:rPr>
          <w:sz w:val="28"/>
          <w:szCs w:val="28"/>
        </w:rPr>
        <w:t xml:space="preserve"> – М., 1998.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proofErr w:type="spellStart"/>
      <w:r w:rsidRPr="0033123B">
        <w:rPr>
          <w:sz w:val="28"/>
          <w:szCs w:val="28"/>
        </w:rPr>
        <w:t>Галеева</w:t>
      </w:r>
      <w:proofErr w:type="spellEnd"/>
      <w:r w:rsidRPr="0033123B">
        <w:rPr>
          <w:sz w:val="28"/>
          <w:szCs w:val="28"/>
        </w:rPr>
        <w:t xml:space="preserve"> Н.Л. Завуч и учитель как субъекты   качеством образовательного процесса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t xml:space="preserve"> </w:t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 xml:space="preserve"> </w:t>
      </w:r>
      <w:proofErr w:type="spellStart"/>
      <w:r w:rsidRPr="0033123B">
        <w:rPr>
          <w:sz w:val="28"/>
          <w:szCs w:val="28"/>
        </w:rPr>
        <w:t>Н.Л.Галеева</w:t>
      </w:r>
      <w:proofErr w:type="spellEnd"/>
      <w:r w:rsidRPr="0033123B">
        <w:rPr>
          <w:sz w:val="28"/>
          <w:szCs w:val="28"/>
        </w:rPr>
        <w:t xml:space="preserve"> – М.: Педагогический университет «Первое сентября», 2007.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proofErr w:type="spellStart"/>
      <w:r w:rsidRPr="0033123B">
        <w:rPr>
          <w:sz w:val="28"/>
          <w:szCs w:val="28"/>
        </w:rPr>
        <w:t>ГершунскийБ.С</w:t>
      </w:r>
      <w:proofErr w:type="spellEnd"/>
      <w:r w:rsidRPr="0033123B">
        <w:rPr>
          <w:sz w:val="28"/>
          <w:szCs w:val="28"/>
        </w:rPr>
        <w:t xml:space="preserve">. Философия образования для </w:t>
      </w:r>
      <w:r w:rsidRPr="0033123B">
        <w:rPr>
          <w:sz w:val="28"/>
          <w:szCs w:val="28"/>
        </w:rPr>
        <w:sym w:font="Symbol" w:char="F043"/>
      </w:r>
      <w:r w:rsidRPr="0033123B">
        <w:rPr>
          <w:sz w:val="28"/>
          <w:szCs w:val="28"/>
        </w:rPr>
        <w:sym w:font="Symbol" w:char="F043"/>
      </w:r>
      <w:r w:rsidRPr="0033123B">
        <w:rPr>
          <w:sz w:val="28"/>
          <w:szCs w:val="28"/>
        </w:rPr>
        <w:sym w:font="Symbol" w:char="F049"/>
      </w:r>
      <w:r w:rsidRPr="0033123B">
        <w:rPr>
          <w:sz w:val="28"/>
          <w:szCs w:val="28"/>
        </w:rPr>
        <w:t xml:space="preserve"> века: (В поисках практико-ориентированных образовательных концепций)/ Рос. Акад. образования. Институт теории образования и педагогики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t xml:space="preserve"> </w:t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 xml:space="preserve"> Б.С. </w:t>
      </w:r>
      <w:proofErr w:type="spellStart"/>
      <w:r w:rsidRPr="0033123B">
        <w:rPr>
          <w:sz w:val="28"/>
          <w:szCs w:val="28"/>
        </w:rPr>
        <w:t>Гершунский</w:t>
      </w:r>
      <w:proofErr w:type="spellEnd"/>
      <w:r w:rsidRPr="0033123B">
        <w:rPr>
          <w:sz w:val="28"/>
          <w:szCs w:val="28"/>
        </w:rPr>
        <w:t xml:space="preserve"> – М.: Совершенство, 1998.</w:t>
      </w:r>
    </w:p>
    <w:p w:rsidR="0033123B" w:rsidRPr="0033123B" w:rsidRDefault="0033123B" w:rsidP="0033123B">
      <w:pPr>
        <w:numPr>
          <w:ilvl w:val="0"/>
          <w:numId w:val="6"/>
        </w:numPr>
        <w:spacing w:after="200" w:line="360" w:lineRule="auto"/>
        <w:ind w:hanging="578"/>
        <w:contextualSpacing/>
        <w:jc w:val="both"/>
        <w:rPr>
          <w:sz w:val="28"/>
          <w:szCs w:val="28"/>
        </w:rPr>
      </w:pPr>
      <w:proofErr w:type="spellStart"/>
      <w:r w:rsidRPr="0033123B">
        <w:rPr>
          <w:sz w:val="28"/>
          <w:szCs w:val="28"/>
        </w:rPr>
        <w:t>Дахин</w:t>
      </w:r>
      <w:proofErr w:type="spellEnd"/>
      <w:r w:rsidRPr="0033123B">
        <w:rPr>
          <w:sz w:val="28"/>
          <w:szCs w:val="28"/>
        </w:rPr>
        <w:t xml:space="preserve"> </w:t>
      </w:r>
      <w:proofErr w:type="spellStart"/>
      <w:r w:rsidRPr="0033123B">
        <w:rPr>
          <w:sz w:val="28"/>
          <w:szCs w:val="28"/>
        </w:rPr>
        <w:t>А.Компетенция</w:t>
      </w:r>
      <w:proofErr w:type="spellEnd"/>
      <w:r w:rsidRPr="0033123B">
        <w:rPr>
          <w:sz w:val="28"/>
          <w:szCs w:val="28"/>
        </w:rPr>
        <w:t xml:space="preserve"> и компетентность: сколько их у </w:t>
      </w:r>
      <w:proofErr w:type="spellStart"/>
      <w:r w:rsidRPr="0033123B">
        <w:rPr>
          <w:sz w:val="28"/>
          <w:szCs w:val="28"/>
        </w:rPr>
        <w:t>россиского</w:t>
      </w:r>
      <w:proofErr w:type="spellEnd"/>
      <w:r w:rsidRPr="0033123B">
        <w:rPr>
          <w:sz w:val="28"/>
          <w:szCs w:val="28"/>
        </w:rPr>
        <w:t xml:space="preserve"> школьника </w:t>
      </w:r>
      <w:r w:rsidRPr="0033123B">
        <w:rPr>
          <w:sz w:val="28"/>
          <w:szCs w:val="28"/>
        </w:rPr>
        <w:sym w:font="Symbol" w:char="F05B"/>
      </w:r>
      <w:r w:rsidRPr="0033123B">
        <w:rPr>
          <w:sz w:val="28"/>
          <w:szCs w:val="28"/>
        </w:rPr>
        <w:t xml:space="preserve"> Текст</w:t>
      </w:r>
      <w:r w:rsidRPr="0033123B">
        <w:rPr>
          <w:sz w:val="28"/>
          <w:szCs w:val="28"/>
        </w:rPr>
        <w:sym w:font="Symbol" w:char="F05D"/>
      </w:r>
      <w:r w:rsidRPr="0033123B">
        <w:rPr>
          <w:sz w:val="28"/>
          <w:szCs w:val="28"/>
        </w:rPr>
        <w:t xml:space="preserve"> </w:t>
      </w:r>
      <w:r w:rsidRPr="0033123B">
        <w:rPr>
          <w:sz w:val="28"/>
          <w:szCs w:val="28"/>
        </w:rPr>
        <w:sym w:font="Symbol" w:char="F02F"/>
      </w:r>
      <w:r w:rsidRPr="0033123B">
        <w:rPr>
          <w:sz w:val="28"/>
          <w:szCs w:val="28"/>
        </w:rPr>
        <w:t xml:space="preserve"> </w:t>
      </w:r>
      <w:proofErr w:type="spellStart"/>
      <w:r w:rsidRPr="0033123B">
        <w:rPr>
          <w:sz w:val="28"/>
          <w:szCs w:val="28"/>
        </w:rPr>
        <w:t>А.Дахин</w:t>
      </w:r>
      <w:proofErr w:type="spellEnd"/>
      <w:r w:rsidRPr="0033123B">
        <w:rPr>
          <w:sz w:val="28"/>
          <w:szCs w:val="28"/>
        </w:rPr>
        <w:t xml:space="preserve"> – Народное образование №4 2004</w:t>
      </w:r>
    </w:p>
    <w:p w:rsidR="0033123B" w:rsidRPr="0033123B" w:rsidRDefault="0033123B" w:rsidP="0033123B">
      <w:pPr>
        <w:spacing w:line="360" w:lineRule="auto"/>
        <w:ind w:left="142"/>
        <w:jc w:val="both"/>
        <w:rPr>
          <w:sz w:val="28"/>
          <w:szCs w:val="28"/>
        </w:rPr>
      </w:pPr>
      <w:r w:rsidRPr="0033123B">
        <w:rPr>
          <w:spacing w:val="2"/>
          <w:sz w:val="28"/>
          <w:szCs w:val="28"/>
        </w:rPr>
        <w:t xml:space="preserve">12.Закон Российской Федерации «Об образовании» </w:t>
      </w:r>
      <w:r w:rsidRPr="0033123B">
        <w:rPr>
          <w:sz w:val="28"/>
          <w:szCs w:val="28"/>
        </w:rPr>
        <w:t>от 17.12.2009 N 313-ФЗ</w:t>
      </w:r>
    </w:p>
    <w:p w:rsidR="0033123B" w:rsidRDefault="0033123B"/>
    <w:p w:rsidR="0033123B" w:rsidRDefault="0033123B">
      <w:bookmarkStart w:id="1" w:name="_GoBack"/>
      <w:bookmarkEnd w:id="1"/>
    </w:p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p w:rsidR="0033123B" w:rsidRDefault="0033123B"/>
    <w:sectPr w:rsidR="0033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19D"/>
    <w:multiLevelType w:val="hybridMultilevel"/>
    <w:tmpl w:val="AF8C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433F07"/>
    <w:multiLevelType w:val="multilevel"/>
    <w:tmpl w:val="3EEAF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2">
    <w:nsid w:val="2B8703AD"/>
    <w:multiLevelType w:val="hybridMultilevel"/>
    <w:tmpl w:val="AA9EE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9B417F"/>
    <w:multiLevelType w:val="hybridMultilevel"/>
    <w:tmpl w:val="1FC2B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72500"/>
    <w:multiLevelType w:val="hybridMultilevel"/>
    <w:tmpl w:val="5EF2E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27478C"/>
    <w:multiLevelType w:val="hybridMultilevel"/>
    <w:tmpl w:val="6CE4C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9C"/>
    <w:rsid w:val="0033123B"/>
    <w:rsid w:val="00370977"/>
    <w:rsid w:val="0046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2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2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5525</Words>
  <Characters>31497</Characters>
  <Application>Microsoft Office Word</Application>
  <DocSecurity>0</DocSecurity>
  <Lines>262</Lines>
  <Paragraphs>73</Paragraphs>
  <ScaleCrop>false</ScaleCrop>
  <Company/>
  <LinksUpToDate>false</LinksUpToDate>
  <CharactersWithSpaces>36949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2016-11-24T16:59:00Z</dcterms:created>
  <dcterms:modified xsi:type="dcterms:W3CDTF">2016-11-24T17:08:00Z</dcterms:modified>
</cp:coreProperties>
</file>