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48D" w:rsidRDefault="008B348D" w:rsidP="008B348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Оздоровление детей</w:t>
      </w:r>
      <w:r w:rsidR="00F9307D">
        <w:rPr>
          <w:rFonts w:ascii="Times New Roman" w:eastAsia="Calibri" w:hAnsi="Times New Roman" w:cs="Times New Roman"/>
          <w:b/>
          <w:sz w:val="28"/>
          <w:szCs w:val="28"/>
        </w:rPr>
        <w:t xml:space="preserve"> дошкольного возраста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нетрадиционным методом</w:t>
      </w:r>
    </w:p>
    <w:p w:rsidR="008B348D" w:rsidRDefault="008B348D" w:rsidP="008B348D">
      <w:pPr>
        <w:tabs>
          <w:tab w:val="right" w:leader="underscore" w:pos="640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48D" w:rsidRPr="00E40F06" w:rsidRDefault="008B348D" w:rsidP="008B348D">
      <w:pPr>
        <w:tabs>
          <w:tab w:val="right" w:leader="underscore" w:pos="640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F06">
        <w:rPr>
          <w:rFonts w:ascii="Times New Roman" w:eastAsia="Calibri" w:hAnsi="Times New Roman" w:cs="Times New Roman"/>
          <w:sz w:val="28"/>
          <w:szCs w:val="28"/>
        </w:rPr>
        <w:t xml:space="preserve">Самая большая ценность для человека – здоровье. Сохранение и укрепление здоровья дошкольников – одна из актуальнейших проблем нашего времени. </w:t>
      </w:r>
    </w:p>
    <w:p w:rsidR="008B348D" w:rsidRPr="00A94B92" w:rsidRDefault="008B348D" w:rsidP="008B348D">
      <w:pPr>
        <w:tabs>
          <w:tab w:val="right" w:leader="underscore" w:pos="640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F06">
        <w:rPr>
          <w:rFonts w:ascii="Times New Roman" w:eastAsia="Calibri" w:hAnsi="Times New Roman" w:cs="Times New Roman"/>
          <w:sz w:val="28"/>
          <w:szCs w:val="28"/>
        </w:rPr>
        <w:t>К сожалению, мы поздно начинаем понимать это и принимаем меры только при проявлении различных отклонений в состоянии собственного здоровья. Вот почему так важно помочь детям осознать неизмеримую ценность здоровья уже в дошкольном возрасте.</w:t>
      </w:r>
      <w:r w:rsidRPr="00E40F06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 xml:space="preserve">   </w:t>
      </w:r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состояния здоровья детей во многом зависит благополучие общества.</w:t>
      </w:r>
      <w:r w:rsidRPr="00E40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348D" w:rsidRPr="00E40F06" w:rsidRDefault="008B348D" w:rsidP="008B34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</w:pPr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детей – будущее страны. В период дошкольного детства у ребёнка закладываются основы здоровья, всесторонней двигательной подготовленности и гармонического физического развития.</w:t>
      </w:r>
    </w:p>
    <w:p w:rsidR="008B348D" w:rsidRPr="00E40F06" w:rsidRDefault="008B348D" w:rsidP="008B34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дошкольном образовании </w:t>
      </w:r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на решение задач по сохранению, поддержанию и укреплению здоровья всех участников педагогического процесса. </w:t>
      </w:r>
    </w:p>
    <w:p w:rsidR="008B348D" w:rsidRPr="00E40F06" w:rsidRDefault="008B348D" w:rsidP="008B34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наблюдается резкое ухудшение состояния здоровья детей. По данным «Национального НИИ Общественного Здоровья» РАМН, в России около 40% детей можно считать условно здоровыми. В связи с этим большое значение приобретает работа с ослабленными детьми в дошкольном учреждении. </w:t>
      </w:r>
    </w:p>
    <w:p w:rsidR="008B348D" w:rsidRDefault="008B348D" w:rsidP="008B34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6">
        <w:rPr>
          <w:rFonts w:ascii="Times New Roman" w:eastAsia="Calibri" w:hAnsi="Times New Roman" w:cs="Times New Roman"/>
          <w:sz w:val="28"/>
          <w:szCs w:val="28"/>
        </w:rPr>
        <w:t xml:space="preserve">Дошкольный возраст наиболее ответственный период в жизни каждого человека. Именно в этом возрасте закладываются основы здоровья. В это время у ребенка формируются основные навыки здорового образа жизни: позиции признания ценности здоровья, чувство ответственности за сохранение и укрепление своего здоровья, расширение знаний и навыков по гигиенической культуре. </w:t>
      </w:r>
    </w:p>
    <w:p w:rsidR="008B348D" w:rsidRDefault="008B348D" w:rsidP="008B34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проблема </w:t>
      </w:r>
      <w:r w:rsidRPr="00E40F06">
        <w:rPr>
          <w:rFonts w:ascii="Times New Roman" w:eastAsia="Calibri" w:hAnsi="Times New Roman" w:cs="Times New Roman"/>
          <w:sz w:val="28"/>
          <w:szCs w:val="28"/>
        </w:rPr>
        <w:t>сохранения и укрепления здоровья дошкольников – одна из актуальнейших проблем нашего времени.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детей, посещающих детский сад </w:t>
      </w:r>
      <w:r w:rsidRPr="00E40F06">
        <w:rPr>
          <w:rFonts w:ascii="Times New Roman" w:eastAsia="Calibri" w:hAnsi="Times New Roman" w:cs="Times New Roman"/>
          <w:sz w:val="28"/>
          <w:szCs w:val="28"/>
        </w:rPr>
        <w:t>физическое воспитание направлено на улучшение состояния здоровья, физического развития, расширение функциональных возможностей растущего организма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все это является </w:t>
      </w:r>
      <w:r w:rsidRPr="00E40F06">
        <w:rPr>
          <w:rFonts w:ascii="Times New Roman" w:eastAsia="Calibri" w:hAnsi="Times New Roman" w:cs="Times New Roman"/>
          <w:sz w:val="28"/>
          <w:szCs w:val="28"/>
        </w:rPr>
        <w:t>одн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E40F06">
        <w:rPr>
          <w:rFonts w:ascii="Times New Roman" w:eastAsia="Calibri" w:hAnsi="Times New Roman" w:cs="Times New Roman"/>
          <w:sz w:val="28"/>
          <w:szCs w:val="28"/>
        </w:rPr>
        <w:t xml:space="preserve"> из основных направлений работы в детском саду.</w:t>
      </w:r>
      <w:r w:rsidRPr="00BF4E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E40F06">
        <w:rPr>
          <w:rFonts w:ascii="Times New Roman" w:eastAsia="Calibri" w:hAnsi="Times New Roman" w:cs="Times New Roman"/>
          <w:sz w:val="28"/>
          <w:szCs w:val="28"/>
        </w:rPr>
        <w:t xml:space="preserve">а занятиях и во всех видах самостоятельной деятельности детей в детском саду используются игровые элементы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семяно</w:t>
      </w:r>
      <w:r w:rsidRPr="00E40F06">
        <w:rPr>
          <w:rFonts w:ascii="Times New Roman" w:eastAsia="Calibri" w:hAnsi="Times New Roman" w:cs="Times New Roman"/>
          <w:sz w:val="28"/>
          <w:szCs w:val="28"/>
        </w:rPr>
        <w:t>терапии</w:t>
      </w:r>
      <w:proofErr w:type="spellEnd"/>
      <w:r w:rsidRPr="00E40F06">
        <w:rPr>
          <w:rFonts w:ascii="Times New Roman" w:eastAsia="Calibri" w:hAnsi="Times New Roman" w:cs="Times New Roman"/>
          <w:sz w:val="28"/>
          <w:szCs w:val="28"/>
        </w:rPr>
        <w:t xml:space="preserve">, направленные на </w:t>
      </w:r>
      <w:r w:rsidRPr="00E4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опосредованное воздействие биоэнергетических точек и активизацию защитных функций организма.</w:t>
      </w:r>
    </w:p>
    <w:p w:rsidR="008B348D" w:rsidRPr="00A94B92" w:rsidRDefault="008B348D" w:rsidP="008B34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lastRenderedPageBreak/>
        <w:t>С</w:t>
      </w:r>
      <w:r w:rsidRPr="00E40F06">
        <w:rPr>
          <w:rFonts w:ascii="Times New Roman" w:eastAsia="Calibri" w:hAnsi="Times New Roman" w:cs="Times New Roman"/>
          <w:sz w:val="28"/>
          <w:szCs w:val="28"/>
        </w:rPr>
        <w:t>емянотерапи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F06">
        <w:rPr>
          <w:rFonts w:ascii="Times New Roman" w:eastAsia="Calibri" w:hAnsi="Times New Roman" w:cs="Times New Roman"/>
          <w:sz w:val="28"/>
          <w:szCs w:val="28"/>
        </w:rPr>
        <w:t>– это метод нетрадиционной медицины, которая заключается в воздействии (надавливании, прогревании, иглоукалывании) на определенные биологические активные точки на теле человека.</w:t>
      </w:r>
      <w:r w:rsidRPr="009E519E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</w:p>
    <w:p w:rsidR="008B348D" w:rsidRPr="00B55AE9" w:rsidRDefault="008B348D" w:rsidP="008B34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6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Еще </w:t>
      </w:r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немецкий философ И. Кант писал, что рука является вышедшим наружу головным мозгом. На кистях рук имеются точки и зоны, которые взаимосвязаны с внутренними органами и различными зонами коры головного мозга. Области коры головного мозга, отвечающие за движения органов речи и управляющие движениями пальцев рук, расположены в непосредственной близости друг от друга.</w:t>
      </w:r>
    </w:p>
    <w:p w:rsidR="008B348D" w:rsidRPr="00E40F06" w:rsidRDefault="008B348D" w:rsidP="008B34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F0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CE3689" wp14:editId="290F13FE">
            <wp:simplePos x="0" y="0"/>
            <wp:positionH relativeFrom="column">
              <wp:posOffset>23495</wp:posOffset>
            </wp:positionH>
            <wp:positionV relativeFrom="paragraph">
              <wp:posOffset>1991360</wp:posOffset>
            </wp:positionV>
            <wp:extent cx="2675255" cy="1924050"/>
            <wp:effectExtent l="19050" t="0" r="0" b="0"/>
            <wp:wrapSquare wrapText="bothSides"/>
            <wp:docPr id="1" name="Рисунок 1" descr="Соответствие внутренних органов на ру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ответствие внутренних органов на руках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0F06">
        <w:rPr>
          <w:rFonts w:ascii="Times New Roman" w:eastAsia="Calibri" w:hAnsi="Times New Roman" w:cs="Times New Roman"/>
          <w:sz w:val="28"/>
          <w:szCs w:val="28"/>
        </w:rPr>
        <w:t xml:space="preserve">Принцип действия данного метода заключается в законе соответствия: кисть и стопа подобны человеческому телу – они имеют объёмную часть, и пять отходящих лучей. Если кисть опустить вниз и пальцы слегка развести, будет понятно, что большой палец – это голова и шея, указательный и мизинец – руки, безымянный и средний – ноги. Линия, которая делит кисть на две части, соответствует позвоночнику. На большом пальце отражены наиболее важные органы: мозг, органы зрения и слуха. Его внутренняя сторона – лицо, внешняя – затылок. </w:t>
      </w:r>
    </w:p>
    <w:p w:rsidR="008B348D" w:rsidRPr="00E40F06" w:rsidRDefault="008B348D" w:rsidP="008B34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Pr="00E40F06">
        <w:rPr>
          <w:rFonts w:ascii="Times New Roman" w:eastAsia="Calibri" w:hAnsi="Times New Roman" w:cs="Times New Roman"/>
          <w:sz w:val="28"/>
          <w:szCs w:val="28"/>
        </w:rPr>
        <w:t>оздоровительный массаж рук по «точкам здоровья» проводится под руководством воспитателя в игровой форме, что благоприятно воздействует на психоэмоциональную устойчивость и физическое здоровье, а также развивает у детей самостоятельность, активность, умение заботиться о своём здоровье.</w:t>
      </w:r>
      <w:r w:rsidRPr="00E40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40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Семянотерапия</w:t>
      </w:r>
      <w:proofErr w:type="spellEnd"/>
      <w:r w:rsidRPr="00E40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одно из направлений, которым каждый человек может легко овладеть и во многих случаях, без использования лекарств, помочь себе и своим близким.</w:t>
      </w:r>
    </w:p>
    <w:p w:rsidR="008B348D" w:rsidRDefault="008B348D" w:rsidP="008B34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0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Семена дают жизнь растениям. Это свидетельствует о том, что в них в скрытом виде присутствует энергия огромной силы. Через механизм энергетического дыхания происходит постоянный обмен этой скрытой энергии с внешней средой, благодаря чему семя, как здоровья других живых организмов.</w:t>
      </w:r>
    </w:p>
    <w:p w:rsidR="008B348D" w:rsidRDefault="008B348D" w:rsidP="008B34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двухлетнего возраста, малышей обучают приемам самомассажа кистей рук и пальцев. Массаж пальцев и ногтевых пластин очень полезен, эти участки соответствуют голо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вному мозгу.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proofErr w:type="gramEnd"/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проецируется все тело человека в виде мини-систем соответствия. Поэтому </w:t>
      </w:r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кончики пальцев необходимо массажировать до стойкого ощущения тепла. Это оказывает </w:t>
      </w:r>
      <w:proofErr w:type="spellStart"/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оздоравливающее</w:t>
      </w:r>
      <w:proofErr w:type="spellEnd"/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воздействие на весь организм.</w:t>
      </w:r>
    </w:p>
    <w:p w:rsidR="008B348D" w:rsidRPr="00E40F06" w:rsidRDefault="008B348D" w:rsidP="008B348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Упражнения </w:t>
      </w:r>
      <w:r w:rsidRPr="00E40F06">
        <w:rPr>
          <w:rFonts w:ascii="Times New Roman" w:eastAsia="Calibri" w:hAnsi="Times New Roman" w:cs="Times New Roman"/>
          <w:sz w:val="28"/>
          <w:szCs w:val="28"/>
        </w:rPr>
        <w:t xml:space="preserve">имеют обязательное текстовое двигательное сопровождение, что оказывает огромное положительное влияние на развитие познавательной и речевой сферы личности воспитанника. </w:t>
      </w:r>
    </w:p>
    <w:p w:rsidR="008B348D" w:rsidRDefault="008B348D" w:rsidP="008B34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B348D" w:rsidRPr="00E40F06" w:rsidRDefault="008B348D" w:rsidP="008B348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27EB22B" wp14:editId="1185EC9F">
            <wp:simplePos x="0" y="0"/>
            <wp:positionH relativeFrom="column">
              <wp:posOffset>34290</wp:posOffset>
            </wp:positionH>
            <wp:positionV relativeFrom="paragraph">
              <wp:posOffset>100330</wp:posOffset>
            </wp:positionV>
            <wp:extent cx="2076450" cy="1438275"/>
            <wp:effectExtent l="19050" t="0" r="0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4" t="8846" r="547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наложении аппликации из различных зерен и семян (гречка, кукуруза, рис, и т.д.) на болевые точки соответствия кисти, стопы или базисные энергетические точки происходят положительные изменения в течении болезни.</w:t>
      </w:r>
    </w:p>
    <w:p w:rsidR="008B348D" w:rsidRPr="00E40F06" w:rsidRDefault="008B348D" w:rsidP="008B348D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ОРЗ рекомендуется наложение аппликации из семян гречки на внутренние сгибы между первой и второй фалангой рук.</w:t>
      </w:r>
    </w:p>
    <w:p w:rsidR="008B348D" w:rsidRPr="00E40F06" w:rsidRDefault="008B348D" w:rsidP="008B34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От насморка</w:t>
      </w:r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избавляемся с помощью стимуляции точек соответствия носу, которые расположены на ладонных и подошвенных поверхностях в центре ногтевых фаланг подушечек больших пальцев. Для воздействия на болезненную точку можно воспользоваться </w:t>
      </w:r>
      <w:proofErr w:type="spellStart"/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цветотерапией</w:t>
      </w:r>
      <w:proofErr w:type="spellEnd"/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активизировав энергию ветра. Чтобы это сделать, необходимо нарисовать на точке соответствия носу небольшой зелёный кружок или прикрепить к ней зернышко зелёного цвета и осуществлять им массаж.</w:t>
      </w:r>
    </w:p>
    <w:p w:rsidR="008B348D" w:rsidRPr="00E40F06" w:rsidRDefault="008B348D" w:rsidP="008B34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От боли в горле</w:t>
      </w:r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избавиться поможет массаж точек соответствия гортани (центр подушечки большого пальца) и миндалинам (ниже проекции уголков рта).</w:t>
      </w:r>
    </w:p>
    <w:p w:rsidR="008B348D" w:rsidRPr="00E40F06" w:rsidRDefault="008B348D" w:rsidP="008B34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Кашель</w:t>
      </w:r>
      <w:r w:rsidRPr="00E40F0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вылечить, простимулировав точки соответствия гортани, трахеи, бронхов и лёгких. Нужно найти наиболее болезненные места в зонах соответствия и помассировать их диагностической палочкой или пальцем на протяжении 3-5 минут, после чего прогреть их полынной сигарой или </w:t>
      </w:r>
      <w:proofErr w:type="spellStart"/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микромоксой</w:t>
      </w:r>
      <w:proofErr w:type="spellEnd"/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Длительную стимуляцию можно осуществить, прикрепив к точкам при помощи пластыря семена чёрного перца, редиса, гречихи, чечевицы или лимона.</w:t>
      </w:r>
    </w:p>
    <w:p w:rsidR="008B348D" w:rsidRPr="00E40F06" w:rsidRDefault="008B348D" w:rsidP="008B34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AE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От повышенной температуры</w:t>
      </w:r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избавляемся, воздействуя на точки головного мозга, которые по системе насекомого находятся на кончиках всех пальцев. К ним следует приложить кусочки льда, а после этого закрасить их чёрным цветом. Либо же можно начертить чёрные линии на ладонной поверхности указательных пальцев, которые будут начинаться в углу ногтевой пластины и заканчиваться на уровне складки, находящейся между средней и основной фалангами.</w:t>
      </w:r>
    </w:p>
    <w:p w:rsidR="008B348D" w:rsidRPr="00E40F06" w:rsidRDefault="008B348D" w:rsidP="008B348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F06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lastRenderedPageBreak/>
        <w:t>От бронхита</w:t>
      </w:r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избавляются при помощи интенсивного разогревающего массажа точек соответствия гортани, трахеи, бронхов и лёгких, после чего поставить на болезненные места семена гречихи, шиповника, свеклы, яблока или чёрного перца. На зоны соответствия лёгким можно приложить кусочки горчичников и держать их до появления ощущения жжения. Для облегчения отхождения мокроты нужно сделать массаж зон соответствия дыхательным путям, используя для этого семена яблока, дыни, арбуза, кабачка, винограда.</w:t>
      </w:r>
    </w:p>
    <w:p w:rsidR="008B348D" w:rsidRDefault="008B348D" w:rsidP="008B348D">
      <w:pPr>
        <w:spacing w:line="276" w:lineRule="auto"/>
        <w:ind w:right="-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40F0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9D350CC" wp14:editId="1ACF956D">
            <wp:simplePos x="0" y="0"/>
            <wp:positionH relativeFrom="column">
              <wp:posOffset>272415</wp:posOffset>
            </wp:positionH>
            <wp:positionV relativeFrom="paragraph">
              <wp:posOffset>384175</wp:posOffset>
            </wp:positionV>
            <wp:extent cx="1914525" cy="1619250"/>
            <wp:effectExtent l="19050" t="0" r="9525" b="0"/>
            <wp:wrapSquare wrapText="bothSides"/>
            <wp:docPr id="3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5" t="31023" r="49615" b="16832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348D" w:rsidRDefault="008B348D" w:rsidP="008B348D">
      <w:pPr>
        <w:spacing w:after="0" w:line="276" w:lineRule="auto"/>
        <w:ind w:right="-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«Крупяные мешочки</w:t>
      </w:r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 во время самомассажа, растирая крупы по внутренней и внешней части кисти рук - проговаривая веселые стихи, </w:t>
      </w:r>
      <w:proofErr w:type="spellStart"/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поговорки, совмещая речь и действия. Применяя «крупяные мешочки» через тактильные ощущения развивается мелкая моторика, происходит положительная стимуляция активных точек, расположенных на кистях рук, отвечающая за весь организм в целом.  Все это спос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обствуют формированию у ребенка </w:t>
      </w:r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сознательного стремления к здоровому образу жизни.</w:t>
      </w:r>
      <w:r w:rsidRPr="00E40F0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8B348D" w:rsidRPr="00A94B92" w:rsidRDefault="008B348D" w:rsidP="008B348D">
      <w:pPr>
        <w:spacing w:after="0" w:line="276" w:lineRule="auto"/>
        <w:ind w:right="-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6A77">
        <w:rPr>
          <w:rFonts w:ascii="Times New Roman" w:eastAsia="Calibri" w:hAnsi="Times New Roman" w:cs="Times New Roman"/>
          <w:sz w:val="28"/>
          <w:szCs w:val="28"/>
        </w:rPr>
        <w:t xml:space="preserve">Все эти приемы эффективно </w:t>
      </w:r>
      <w:r w:rsidRPr="00F86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профилактике у </w:t>
      </w:r>
      <w:r w:rsidRPr="00F86A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гриппа и ОРВИ. В результате</w:t>
      </w:r>
      <w:r w:rsidRPr="00E4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благоприятное воздействие на весь организм: стимулируются речевые зоны коры головного мозга, развиваются произвольное поведение, внимание, память, речь, координация движений и мелкая моторика, происходит оздоровление организма в целом.</w:t>
      </w:r>
      <w:r w:rsidRPr="00E40F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348D" w:rsidRPr="00F86A77" w:rsidRDefault="008B348D" w:rsidP="008B348D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24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F86A7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Для обеспечения здоровья, разумеется, важно многое: и здоровый образ жизни, и правильное, полноценное питание, и состояние костно-мышечного аппарата. </w:t>
      </w:r>
    </w:p>
    <w:p w:rsidR="008B348D" w:rsidRPr="00A94B92" w:rsidRDefault="008B348D" w:rsidP="008B348D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6A77">
        <w:rPr>
          <w:rFonts w:ascii="Times New Roman" w:eastAsia="Calibri" w:hAnsi="Times New Roman" w:cs="Times New Roman"/>
          <w:spacing w:val="-1"/>
          <w:sz w:val="28"/>
          <w:szCs w:val="28"/>
        </w:rPr>
        <w:t>Целенаправленная работа по укреплению здоровья детей, организация лечебно-профилактических мероприятий способствуют снижению общего по</w:t>
      </w:r>
      <w:r w:rsidRPr="00F86A77">
        <w:rPr>
          <w:rFonts w:ascii="Times New Roman" w:eastAsia="Calibri" w:hAnsi="Times New Roman" w:cs="Times New Roman"/>
          <w:spacing w:val="-1"/>
          <w:sz w:val="28"/>
          <w:szCs w:val="28"/>
        </w:rPr>
        <w:softHyphen/>
        <w:t>казателя заболеваемости, сохранению и укреплению психического и физиче</w:t>
      </w:r>
      <w:r w:rsidRPr="00F86A77">
        <w:rPr>
          <w:rFonts w:ascii="Times New Roman" w:eastAsia="Calibri" w:hAnsi="Times New Roman" w:cs="Times New Roman"/>
          <w:spacing w:val="-1"/>
          <w:sz w:val="28"/>
          <w:szCs w:val="28"/>
        </w:rPr>
        <w:softHyphen/>
      </w:r>
      <w:r w:rsidRPr="00F86A77">
        <w:rPr>
          <w:rFonts w:ascii="Times New Roman" w:eastAsia="Calibri" w:hAnsi="Times New Roman" w:cs="Times New Roman"/>
          <w:spacing w:val="-2"/>
          <w:sz w:val="28"/>
          <w:szCs w:val="28"/>
        </w:rPr>
        <w:t>ского здоровья ребенка, развитию его потенциала в физическом и общем разви</w:t>
      </w:r>
      <w:r w:rsidRPr="00F86A77">
        <w:rPr>
          <w:rFonts w:ascii="Times New Roman" w:eastAsia="Calibri" w:hAnsi="Times New Roman" w:cs="Times New Roman"/>
          <w:spacing w:val="-2"/>
          <w:sz w:val="28"/>
          <w:szCs w:val="28"/>
        </w:rPr>
        <w:softHyphen/>
      </w:r>
      <w:r w:rsidRPr="00F86A77">
        <w:rPr>
          <w:rFonts w:ascii="Times New Roman" w:eastAsia="Calibri" w:hAnsi="Times New Roman" w:cs="Times New Roman"/>
          <w:spacing w:val="-1"/>
          <w:sz w:val="28"/>
          <w:szCs w:val="28"/>
        </w:rPr>
        <w:t>тии во всех видах детской деятельности.</w:t>
      </w:r>
    </w:p>
    <w:p w:rsidR="008B348D" w:rsidRDefault="008B348D" w:rsidP="008B348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8D" w:rsidRDefault="008B348D" w:rsidP="008B348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8D" w:rsidRDefault="008B348D" w:rsidP="008B348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8D" w:rsidRDefault="008B348D" w:rsidP="008B348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8D" w:rsidRDefault="008B348D" w:rsidP="008B348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8D" w:rsidRDefault="008B348D" w:rsidP="008B348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8D" w:rsidRPr="00A94B92" w:rsidRDefault="008B348D" w:rsidP="008B348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</w:t>
      </w:r>
    </w:p>
    <w:p w:rsidR="008B348D" w:rsidRPr="00A94B92" w:rsidRDefault="008B348D" w:rsidP="008B348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86A7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Каштанова Г.В., Мамаева Е.Г., Лечебная физкультура и массаж </w:t>
      </w:r>
      <w:r w:rsidRPr="00A94B9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[Текст]/ Г. </w:t>
      </w:r>
      <w:r w:rsidRPr="00A94B92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A94B9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proofErr w:type="spellStart"/>
      <w:r w:rsidRPr="00A94B92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Каштано</w:t>
      </w:r>
      <w:r w:rsidRPr="00A94B9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ва</w:t>
      </w:r>
      <w:proofErr w:type="spellEnd"/>
      <w:r w:rsidRPr="00A94B9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Pr="00A94B92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94B9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  <w:r w:rsidRPr="00A94B92">
        <w:rPr>
          <w:rFonts w:ascii="Times New Roman" w:eastAsia="Times New Roman" w:hAnsi="Times New Roman" w:cs="Times New Roman"/>
          <w:sz w:val="28"/>
          <w:szCs w:val="28"/>
          <w:lang w:eastAsia="x-none"/>
        </w:rPr>
        <w:t>Г</w:t>
      </w:r>
      <w:r w:rsidRPr="00A94B9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proofErr w:type="gramStart"/>
      <w:r w:rsidRPr="00A94B92">
        <w:rPr>
          <w:rFonts w:ascii="Times New Roman" w:eastAsia="Times New Roman" w:hAnsi="Times New Roman" w:cs="Times New Roman"/>
          <w:sz w:val="28"/>
          <w:szCs w:val="28"/>
          <w:lang w:eastAsia="x-none"/>
        </w:rPr>
        <w:t>Мамае</w:t>
      </w:r>
      <w:proofErr w:type="spellStart"/>
      <w:r w:rsidRPr="00A94B9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ва</w:t>
      </w:r>
      <w:proofErr w:type="spellEnd"/>
      <w:r w:rsidRPr="00A94B92">
        <w:rPr>
          <w:rFonts w:ascii="Times New Roman" w:eastAsia="Times New Roman" w:hAnsi="Times New Roman" w:cs="Times New Roman"/>
          <w:sz w:val="28"/>
          <w:szCs w:val="28"/>
          <w:lang w:eastAsia="x-none"/>
        </w:rPr>
        <w:t>.-</w:t>
      </w:r>
      <w:proofErr w:type="gramEnd"/>
      <w:r w:rsidRPr="00A94B9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86A77">
        <w:rPr>
          <w:rFonts w:ascii="Times New Roman" w:eastAsia="Times New Roman" w:hAnsi="Times New Roman" w:cs="Times New Roman"/>
          <w:sz w:val="27"/>
          <w:szCs w:val="27"/>
          <w:lang w:eastAsia="ru-RU"/>
        </w:rPr>
        <w:t>М., «</w:t>
      </w:r>
      <w:proofErr w:type="spellStart"/>
      <w:r w:rsidRPr="00F86A77">
        <w:rPr>
          <w:rFonts w:ascii="Times New Roman" w:eastAsia="Times New Roman" w:hAnsi="Times New Roman" w:cs="Times New Roman"/>
          <w:sz w:val="27"/>
          <w:szCs w:val="27"/>
          <w:lang w:eastAsia="ru-RU"/>
        </w:rPr>
        <w:t>Аркти</w:t>
      </w:r>
      <w:proofErr w:type="spellEnd"/>
      <w:r w:rsidRPr="00F86A77">
        <w:rPr>
          <w:rFonts w:ascii="Times New Roman" w:eastAsia="Times New Roman" w:hAnsi="Times New Roman" w:cs="Times New Roman"/>
          <w:sz w:val="27"/>
          <w:szCs w:val="27"/>
          <w:lang w:eastAsia="ru-RU"/>
        </w:rPr>
        <w:t>», 2007</w:t>
      </w:r>
      <w:r w:rsidRPr="00A94B92">
        <w:rPr>
          <w:rFonts w:ascii="Times New Roman" w:eastAsia="Times New Roman" w:hAnsi="Times New Roman" w:cs="Times New Roman"/>
          <w:sz w:val="27"/>
          <w:szCs w:val="27"/>
          <w:lang w:eastAsia="ru-RU"/>
        </w:rPr>
        <w:t>.- 104с.</w:t>
      </w:r>
    </w:p>
    <w:p w:rsidR="008B348D" w:rsidRDefault="008B348D" w:rsidP="008B348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94B9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 w:bidi="ru-RU"/>
        </w:rPr>
        <w:t>2. Григорьева, Г. Г</w:t>
      </w:r>
      <w:r w:rsidRPr="00A94B9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 w:bidi="ru-RU"/>
        </w:rPr>
        <w:t>.</w:t>
      </w:r>
      <w:r w:rsidRPr="00A94B9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Играем с малышами: игры и упражнения для детей раннего возраста: пособие для воспитателей </w:t>
      </w:r>
      <w:proofErr w:type="spellStart"/>
      <w:r w:rsidRPr="00A94B9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дошк</w:t>
      </w:r>
      <w:proofErr w:type="spellEnd"/>
      <w:r w:rsidRPr="00A94B9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  <w:proofErr w:type="spellStart"/>
      <w:r w:rsidRPr="00A94B9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Образоват</w:t>
      </w:r>
      <w:proofErr w:type="spellEnd"/>
      <w:r w:rsidRPr="00A94B9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 Учре</w:t>
      </w:r>
      <w:r w:rsidRPr="00A94B9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softHyphen/>
        <w:t xml:space="preserve">ждений и родителей [Текст]/ Г. Г. Григорьева, Н.П. </w:t>
      </w:r>
      <w:proofErr w:type="spellStart"/>
      <w:r w:rsidRPr="00A94B9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Кочетова</w:t>
      </w:r>
      <w:proofErr w:type="spellEnd"/>
      <w:r w:rsidRPr="00A94B9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Г.В. Груба. - 2-е изд. - М.: Просвещение, 2005. - 80 с.</w:t>
      </w:r>
    </w:p>
    <w:p w:rsidR="008B348D" w:rsidRPr="00F86A77" w:rsidRDefault="008B348D" w:rsidP="008B348D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86A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Мелехина</w:t>
      </w:r>
      <w:proofErr w:type="spellEnd"/>
      <w:r w:rsidRPr="00A9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6A77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Нетрадиционные подходы к физическому воспитанию детей в ДОУ</w:t>
      </w:r>
      <w:r w:rsidRPr="00A9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[Текст] /Н.А. </w:t>
      </w:r>
      <w:proofErr w:type="spellStart"/>
      <w:r w:rsidRPr="00A94B9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Мелехина</w:t>
      </w:r>
      <w:proofErr w:type="spellEnd"/>
      <w:r w:rsidRPr="00F86A7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СПб.: ООО «Издательство «Детство-пресс», 2012.</w:t>
      </w:r>
      <w:r w:rsidRPr="00A94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Т- 112с.</w:t>
      </w:r>
    </w:p>
    <w:p w:rsidR="008B348D" w:rsidRPr="00F86A77" w:rsidRDefault="008B348D" w:rsidP="008B348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348D" w:rsidRPr="00E40F06" w:rsidRDefault="008B348D" w:rsidP="008B348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8B348D" w:rsidRPr="00E40F06" w:rsidRDefault="008B348D" w:rsidP="008B348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48D" w:rsidRPr="00E40F06" w:rsidRDefault="008B348D" w:rsidP="008B348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48D" w:rsidRPr="00E40F06" w:rsidRDefault="008B348D" w:rsidP="008B348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48D" w:rsidRPr="00E40F06" w:rsidRDefault="008B348D" w:rsidP="008B348D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48D" w:rsidRPr="00E40F06" w:rsidRDefault="008B348D" w:rsidP="008B348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48D" w:rsidRPr="00E40F06" w:rsidRDefault="008B348D" w:rsidP="008B348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48D" w:rsidRPr="00E40F06" w:rsidRDefault="008B348D" w:rsidP="008B348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48D" w:rsidRPr="00E40F06" w:rsidRDefault="008B348D" w:rsidP="008B348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48D" w:rsidRPr="00E40F06" w:rsidRDefault="008B348D" w:rsidP="008B348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48D" w:rsidRPr="00E40F06" w:rsidRDefault="008B348D" w:rsidP="008B348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48D" w:rsidRPr="00E40F06" w:rsidRDefault="008B348D" w:rsidP="008B348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48D" w:rsidRPr="00E40F06" w:rsidRDefault="008B348D" w:rsidP="008B348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48D" w:rsidRPr="00E40F06" w:rsidRDefault="008B348D" w:rsidP="008B348D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48D" w:rsidRPr="00E40F06" w:rsidRDefault="008B348D" w:rsidP="008B348D">
      <w:pPr>
        <w:keepNext/>
        <w:widowControl w:val="0"/>
        <w:spacing w:after="200" w:line="240" w:lineRule="auto"/>
        <w:ind w:left="142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48D" w:rsidRPr="00E40F06" w:rsidRDefault="008B348D" w:rsidP="008B348D">
      <w:pPr>
        <w:keepNext/>
        <w:widowControl w:val="0"/>
        <w:spacing w:after="200" w:line="240" w:lineRule="auto"/>
        <w:ind w:left="142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48D" w:rsidRPr="00E40F06" w:rsidRDefault="008B348D" w:rsidP="008B348D">
      <w:pPr>
        <w:keepNext/>
        <w:widowControl w:val="0"/>
        <w:spacing w:after="200" w:line="240" w:lineRule="auto"/>
        <w:ind w:left="142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8B348D" w:rsidRDefault="008B348D" w:rsidP="008B348D"/>
    <w:p w:rsidR="00C46B14" w:rsidRDefault="00C46B14"/>
    <w:sectPr w:rsidR="00C4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8D"/>
    <w:rsid w:val="008B348D"/>
    <w:rsid w:val="00C46B14"/>
    <w:rsid w:val="00F9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9423"/>
  <w15:chartTrackingRefBased/>
  <w15:docId w15:val="{51338218-78A1-4229-8010-FECD34EF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1303</Words>
  <Characters>7431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2019-12-15T08:55:00Z</dcterms:created>
  <dcterms:modified xsi:type="dcterms:W3CDTF">2019-12-15T09:03:00Z</dcterms:modified>
</cp:coreProperties>
</file>