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  <w:r w:rsidRPr="007C0849"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  <w:r w:rsidRPr="007C0849"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>«Детский сад № 3»</w:t>
      </w: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EE55E1" w:rsidRP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  <w:r w:rsidRPr="007C0849"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 xml:space="preserve">Доклад на конференцию </w:t>
      </w:r>
    </w:p>
    <w:p w:rsidR="007C0849" w:rsidRDefault="007C0849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>п</w:t>
      </w:r>
      <w:r w:rsidR="00EE55E1" w:rsidRPr="007C0849"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>о теме:</w:t>
      </w:r>
      <w:r w:rsidR="00EE55E1"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  <w:t xml:space="preserve"> </w:t>
      </w:r>
    </w:p>
    <w:p w:rsidR="007C0849" w:rsidRDefault="00EE55E1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  <w:t>«</w:t>
      </w:r>
      <w:r w:rsidR="007C0849"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  <w:t>Понятия: з</w:t>
      </w:r>
      <w:r w:rsidR="007C0849" w:rsidRPr="00EE55E1"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  <w:t>доровье, здоровый образ жизни</w:t>
      </w:r>
      <w:r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  <w:t>»</w:t>
      </w:r>
    </w:p>
    <w:p w:rsidR="007C0849" w:rsidRDefault="007C0849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</w:p>
    <w:p w:rsidR="007C0849" w:rsidRDefault="007C0849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</w:p>
    <w:p w:rsidR="007C0849" w:rsidRDefault="007C0849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</w:p>
    <w:p w:rsidR="007C0849" w:rsidRDefault="007C0849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</w:p>
    <w:p w:rsidR="007C0849" w:rsidRDefault="007C0849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</w:p>
    <w:p w:rsidR="007C0849" w:rsidRDefault="007C0849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</w:p>
    <w:p w:rsidR="007C0849" w:rsidRDefault="007C0849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</w:p>
    <w:p w:rsidR="007C0849" w:rsidRPr="007C0849" w:rsidRDefault="007C0849" w:rsidP="007C0849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  <w:r w:rsidRPr="007C0849"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>Подготовила:</w:t>
      </w:r>
    </w:p>
    <w:p w:rsidR="007C0849" w:rsidRDefault="007C0849" w:rsidP="007C0849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>в</w:t>
      </w:r>
      <w:r w:rsidRPr="007C0849"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 xml:space="preserve">оспитатель </w:t>
      </w:r>
    </w:p>
    <w:p w:rsidR="007C0849" w:rsidRDefault="007C0849" w:rsidP="007C0849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  <w:proofErr w:type="spellStart"/>
      <w:r w:rsidRPr="007C0849"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>Скубченко</w:t>
      </w:r>
      <w:proofErr w:type="spellEnd"/>
      <w:r w:rsidRPr="007C0849"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 xml:space="preserve"> Т.В.</w:t>
      </w:r>
    </w:p>
    <w:p w:rsidR="007C0849" w:rsidRDefault="007C0849" w:rsidP="007C0849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7C0849" w:rsidRDefault="007C0849" w:rsidP="007C0849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7C0849" w:rsidRDefault="007C0849" w:rsidP="007C0849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7C0849" w:rsidRDefault="007C0849" w:rsidP="007C0849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7C0849" w:rsidRDefault="007C0849" w:rsidP="007C0849">
      <w:pPr>
        <w:shd w:val="clear" w:color="auto" w:fill="FFFFFF"/>
        <w:spacing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</w:p>
    <w:p w:rsidR="007C0849" w:rsidRPr="007C0849" w:rsidRDefault="007C0849" w:rsidP="007C0849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>Полысаевский</w:t>
      </w:r>
      <w:proofErr w:type="spellEnd"/>
      <w:r>
        <w:rPr>
          <w:rFonts w:ascii="Times New Roman" w:eastAsia="Times New Roman" w:hAnsi="Times New Roman" w:cs="Times New Roman"/>
          <w:bCs/>
          <w:color w:val="281F18"/>
          <w:sz w:val="28"/>
          <w:szCs w:val="28"/>
          <w:lang w:eastAsia="ru-RU"/>
        </w:rPr>
        <w:t xml:space="preserve"> городской округ</w:t>
      </w:r>
    </w:p>
    <w:p w:rsidR="007C0849" w:rsidRDefault="007C0849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</w:p>
    <w:p w:rsidR="00EE55E1" w:rsidRPr="00EE55E1" w:rsidRDefault="007C0849" w:rsidP="00EE55E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  <w:lastRenderedPageBreak/>
        <w:t>Понятия: з</w:t>
      </w:r>
      <w:r w:rsidRPr="00EE55E1"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  <w:t>доровье</w:t>
      </w:r>
      <w:r w:rsidR="00EE55E1" w:rsidRPr="00EE55E1">
        <w:rPr>
          <w:rFonts w:ascii="Times New Roman" w:eastAsia="Times New Roman" w:hAnsi="Times New Roman" w:cs="Times New Roman"/>
          <w:b/>
          <w:bCs/>
          <w:color w:val="281F18"/>
          <w:sz w:val="28"/>
          <w:szCs w:val="28"/>
          <w:lang w:eastAsia="ru-RU"/>
        </w:rPr>
        <w:t>, здоровый образ жизни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Анализ педагогической практики показывает что, несмотря на выделение задачи укрепления и сохранения здоровья детей в качестве одной из ведущих задач деятельности дошкольных образовательных учреждений, в большинстве из них используются недостаточно эффективные формы по охране и укреплению здоровья, как целостного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медико-психолого-педагогического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явления. Одной из причин этого является недостаточное понимание и осмысление категории здоровья. 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ind w:right="75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Прежде чем дать определение понятия здоровье, необходимо указать, что в научной литературе выделяют три типа здоровья: 1) «индивидуальное здоровье» (человек, личность); 2) «здоровье группы» (семья, профессиональная группа); 3) «здоровье населения» (популяционное, общественное).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На сегодняшний день существует множество определений понятия здоровья.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Согласно определению Всемирной организации здравоохранения (1948), 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здоровье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 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В словаре С.И.Ожегова под здоровьем понимается «правильная, нормальная деятельность организма, его полное физическое и психическое благополучие» (С.И. Ожегов, 1988).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Здоровье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 - это комплексное и, при этом, целостное, многомерное динамическое состояние,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социальные функции (Г.А. Калачев, 1996). В.П. Казначеев (1994г.) определяет здоровье «как динамический процесс сохранения и развития физиологических, биологических и психических функций, оптимальной трудовой и социальной активности при максимальной продолжительности активной творческой жизни».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Разнообразие трактовок понятия здоровья характеризует его как сложное, многозначное и неоднородное явление. Большинство авторов изучающих феномен здоровья соглашаются с тем, что это сложное, многокомпонентное явление.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proofErr w:type="gram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Существует четыре 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модели 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определения здоровья: а) медицинская, подчеркивающая отсутствие болезни, нормальное функционирование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lastRenderedPageBreak/>
        <w:t xml:space="preserve">организма; б) биомедицинская, где главным является взаимодействие со средой, способность приспосабливаться к меняющимся условиям, субъективное ощущение здоровья; в)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биосоциальная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, делающая упор на работоспособность, слаженность профессиональной или учебной деятельности, где социальным признакам придается приоритетное значение; г) ценностно-социальная модель, подчеркивающая моменты общения и взаимодействия людей;</w:t>
      </w:r>
      <w:proofErr w:type="gram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где здоровье - ценность для человека, необходимая предпосылка для полноценной жизни.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О.Л. Трещева (1999) предлагает целостный взгляд на здоровье и представляет его в виде четырехкомпонентной модели, в которой подчеркнуты взаимосвязи различных его компонентов, таких как: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ind w:left="142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</w:t>
      </w:r>
      <w:r w:rsidRPr="00EE55E1">
        <w:rPr>
          <w:rFonts w:ascii="Times New Roman" w:eastAsia="Times New Roman" w:hAnsi="Times New Roman" w:cs="Times New Roman"/>
          <w:i/>
          <w:iCs/>
          <w:color w:val="281F18"/>
          <w:sz w:val="28"/>
          <w:szCs w:val="28"/>
          <w:lang w:eastAsia="ru-RU"/>
        </w:rPr>
        <w:t>духовный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 - определяющий его личностный уровень, который строится в соответствии с основными целями и ценностями жизни, убеждениями, характеризуется нравственной ориентацией личности, ее менталитетом по отношению к себе, природе и обществу;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ind w:left="142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</w:t>
      </w:r>
      <w:proofErr w:type="gramStart"/>
      <w:r w:rsidRPr="00EE55E1">
        <w:rPr>
          <w:rFonts w:ascii="Times New Roman" w:eastAsia="Times New Roman" w:hAnsi="Times New Roman" w:cs="Times New Roman"/>
          <w:i/>
          <w:iCs/>
          <w:color w:val="281F18"/>
          <w:sz w:val="28"/>
          <w:szCs w:val="28"/>
          <w:lang w:eastAsia="ru-RU"/>
        </w:rPr>
        <w:t>физический</w:t>
      </w:r>
      <w:proofErr w:type="gram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 - характеризующийся уровнем физиологического развития, степенью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саморегуляции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органов и систем, наличием резервных возможностей организма. Это совершенство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саморегуляции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в организме, гармония физиологических процессов, максимальная адаптация к окружающей среде (педагогическое определение). Это состояние роста и развития органов и систем организма, основу которого составляют морфологические и функциональные резервы, обеспечивающие адаптационные реакции (медицинское определение);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ind w:left="142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</w:t>
      </w:r>
      <w:proofErr w:type="gramStart"/>
      <w:r w:rsidRPr="00EE55E1">
        <w:rPr>
          <w:rFonts w:ascii="Times New Roman" w:eastAsia="Times New Roman" w:hAnsi="Times New Roman" w:cs="Times New Roman"/>
          <w:i/>
          <w:iCs/>
          <w:color w:val="281F18"/>
          <w:sz w:val="28"/>
          <w:szCs w:val="28"/>
          <w:lang w:eastAsia="ru-RU"/>
        </w:rPr>
        <w:t>психический</w:t>
      </w:r>
      <w:proofErr w:type="gram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 - определяется, уровнем развития психических процессов, степенью регуляции деятельности эмоционально-волевой сферы. А так же, это состояние психической сферы, основу которой составляет статус общего душевного комфорта, адекватная поведенческая реакция (медицинское определение);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ind w:left="1429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</w:t>
      </w:r>
      <w:proofErr w:type="gramStart"/>
      <w:r w:rsidRPr="00EE55E1">
        <w:rPr>
          <w:rFonts w:ascii="Times New Roman" w:eastAsia="Times New Roman" w:hAnsi="Times New Roman" w:cs="Times New Roman"/>
          <w:i/>
          <w:iCs/>
          <w:color w:val="281F18"/>
          <w:sz w:val="28"/>
          <w:szCs w:val="28"/>
          <w:lang w:eastAsia="ru-RU"/>
        </w:rPr>
        <w:t>социальный</w:t>
      </w:r>
      <w:proofErr w:type="gramEnd"/>
      <w:r w:rsidRPr="00EE55E1">
        <w:rPr>
          <w:rFonts w:ascii="Times New Roman" w:eastAsia="Times New Roman" w:hAnsi="Times New Roman" w:cs="Times New Roman"/>
          <w:i/>
          <w:iCs/>
          <w:color w:val="281F18"/>
          <w:sz w:val="28"/>
          <w:szCs w:val="28"/>
          <w:lang w:eastAsia="ru-RU"/>
        </w:rPr>
        <w:t> 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 характеризуется степенью социальной адаптации человека в обществе, наличием предпосылок для всесторонней и долговременной активности в социуме.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Данное выделение компонентов здоровья, позволяет с одной стороны, показать многомерность взаимовлияний разных проявлений функционирования целостного организма, с другой - более полно охарактеризовать различные стороны жизнедеятельности человека, направленные на организацию индивидуального стиля жизни.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lastRenderedPageBreak/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Многие из факторов внешней среды могут оказывать отрицательное влияние на состояние здоровья человека. К ним, прежде всего, следует отнести: нарушение гигиенических требований режима дня, режима питания, учебного и рабочего процесса, недостатки калорийности питания, неблагоприятные экологические факторы, вредные привычки, отягченная или неблагополучная наследственность, низкий уровень медицинского обеспечения. Сохранение и укрепление здоровья людей только на 50 % определяют независящие от человека причины, такие как экология (20 %), здравоохранение и медицина (10 %) и наследственность (20 %). Остальные 50 % состояния здоровья напрямую зависят от образа жизни человека и режима его двигательной активности (Лукьяненко В.П., 2001).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Одним из наиболее значимых по влиянию на здоровье человека факторов, является персонифицированный 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стиль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 (или 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образ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) его жизни. Он определяется историческими, социально-экономическими факторами, национальными и религиозными традициями, условиями жизни и личностными особенностями. Понятие здоровый образ жизни объединяет все, то, что способствует выполнению человеком профессиональных, общественных,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здоровья. Он подразумевает такие характеристики как: благоприятное социальное окружение; духовно-нравственное благополучие; оптимальный двигательный режим; закаливание организма; рациональное питание; личная гигиена; отказ от вредных привычек; положительные эмоции.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proofErr w:type="gram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Приведенные характеристики позволяют говорить о том, что 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здоровый образ жизни 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человека - это часть общей культуры личности, которая отражает его системное и динамическое состояние, обусловленное определенным уровнем специальных знаний, физической культуры, социально-духовных ценностей, приобретенных в результате воспитания и самовоспитания, образования,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мотивационно-ценностной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ориентации и самообразования, воплощенных в практической жизнедеятельности, а также в физическом и психофизическом здоровье.</w:t>
      </w:r>
      <w:proofErr w:type="gramEnd"/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Обратимся к некоторым определениям здорового образа жизни. </w:t>
      </w:r>
      <w:proofErr w:type="gramStart"/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Здоровый образ жизни</w:t>
      </w:r>
      <w:r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 xml:space="preserve">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 это способ жизнедеятельности, направленный на сохранение и укрепление здоровья людей, позволяющий человеку долгие годы трудится в полную меру своих способностей, избавляющий его от болезней и недомоганий, дарящий бодрость, силу и энергию, без которых нет полнокровной радости бытия (Коростелев Н.Б., 1987).</w:t>
      </w:r>
      <w:proofErr w:type="gramEnd"/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lastRenderedPageBreak/>
        <w:t xml:space="preserve">     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Здоровый образ жизни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 - это процесс соблюдения человеком определённых норм, правил и ограничений в повседневной жизни, способствующих сохранению здоровья, оптимальному приспособлению организма к условиям среды, высокому уровню работоспособности в учебной и профессиональной деятельности (Лукьяненко В.П., 2001).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Здоровый образ жизни представляет собой определенный режим, то есть для успешного решения проблемы сохранения здоровья необходимо наряду с правильно организованной двигательной активностью систематически выполнять и другие заповеди его укрепления: правильно дышать, правильно пить, правильно есть, правильно расслабляться, правильно беречься, правильно думать (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Брехман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И.И., 2000). Как сказал известный американский писатель Марк Твен: «Единственный способ сохранить здоровье - есть то, что не хочешь, пить то, чего не любишь и делать то, что не нравится».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 xml:space="preserve">    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Стиль ЗОЖ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 обусловлен личностно-мотивационными особенностями, возможностями и склонностями человека. Он предполагает активную деятельность по сохранению и укреплению собственного здоровья. Под 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индивидуальным стилем ЗОЖ 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понимают присущий конкретному человеку способ организации жизнедеятельности, учитывающий индивидуальные интересы, потребности, возможности и связь с его учебной, профессиональной и бытовой деятельностью (Лукьяненко В.П.,2001).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К основным 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компонентам здорового образа жизни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 относятся: рациональное питание, быт, организация труда и отдыха, отношение к вредным привычкам (Лаптев А.П.,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Полиевский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С.А., 1990).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Многие ученые выделяют и другие компоненты ЗОЖ. Так,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Дуркин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П.К., Лебедева М.П. (2002) выделяют в своих работах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потребностно-мотивационный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компонент. Потребность в движениях, в физическом совершенствовании, в сохранении и укреплении здоровья - вот психологические основы мотивации формирования здорового образа жизни.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По данным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Бальсевича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В.К.,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Лубышевой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М.П. (1994, 1995) основным компонентов ЗОЖ является личная физическая культура. Это часть культуры личности, основу специфического содержания которой составляет рациональной использование человеком одного или нескольких видов физкультурной деятельности в качестве фактора оптимизации своего духовного и физического состояния (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Лубышева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М.П., 1992).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Помимо этих основных компонентов </w:t>
      </w:r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в системе формирования ЗОЖ многими учеными выделяется еще и образовательный компонент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, как обучающихся, так и педагогов и родителей (Лукьяненко В.П., 2000, Трещева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lastRenderedPageBreak/>
        <w:t xml:space="preserve">О.Л., 2001,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Абаскалова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Н.П., 2000, Соловьев Г.М., Прокопенко Т.И. 2001) В образовательном компоненте можно выделить следующие основные знания: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 влиянии наследственности на индивидуальное развитие человека;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 роли семейного воспитания и уклада на формирование образа жизни будущего поколения;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 целенаправленном применении разнообразных форм физической культуры;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 целенаправленном освоении гигиенических навыков и навыков охраны здоровья;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об использовании естественных природных факторов в укреплении здоровья (закаливание) и цивилизованное отношение к природе.</w:t>
      </w:r>
    </w:p>
    <w:p w:rsidR="00EE55E1" w:rsidRPr="00EE55E1" w:rsidRDefault="00EE55E1" w:rsidP="00EE55E1">
      <w:pPr>
        <w:shd w:val="clear" w:color="auto" w:fill="FFFFFF"/>
        <w:spacing w:after="240" w:line="341" w:lineRule="atLeast"/>
        <w:jc w:val="both"/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     </w:t>
      </w:r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Необходимость формирования здорового образа жизни, культуры здоровья детей и подростков, прежде всего, через систему образования, привело к возникновению нового научного направления - </w:t>
      </w:r>
      <w:proofErr w:type="spellStart"/>
      <w:r w:rsidRPr="00EE55E1">
        <w:rPr>
          <w:rFonts w:ascii="Times New Roman" w:eastAsia="Times New Roman" w:hAnsi="Times New Roman" w:cs="Times New Roman"/>
          <w:b/>
          <w:bCs/>
          <w:i/>
          <w:iCs/>
          <w:color w:val="281F18"/>
          <w:sz w:val="28"/>
          <w:szCs w:val="28"/>
          <w:lang w:eastAsia="ru-RU"/>
        </w:rPr>
        <w:t>валеологии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 xml:space="preserve">, а так же различных педагогических технологий связанных с вопросами формирования ценностного отношения к своему здоровью и ориентированных на </w:t>
      </w:r>
      <w:proofErr w:type="spellStart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здоровьесбережение</w:t>
      </w:r>
      <w:proofErr w:type="spellEnd"/>
      <w:r w:rsidRPr="00EE55E1">
        <w:rPr>
          <w:rFonts w:ascii="Times New Roman" w:eastAsia="Times New Roman" w:hAnsi="Times New Roman" w:cs="Times New Roman"/>
          <w:color w:val="281F18"/>
          <w:sz w:val="28"/>
          <w:szCs w:val="28"/>
          <w:lang w:eastAsia="ru-RU"/>
        </w:rPr>
        <w:t>.</w:t>
      </w:r>
    </w:p>
    <w:p w:rsidR="00EE55E1" w:rsidRDefault="00EE55E1" w:rsidP="00EE55E1"/>
    <w:p w:rsidR="006D1A83" w:rsidRDefault="006D1A83"/>
    <w:sectPr w:rsidR="006D1A83" w:rsidSect="006D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5E1"/>
    <w:rsid w:val="006D1A83"/>
    <w:rsid w:val="007C0849"/>
    <w:rsid w:val="00EE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2019-10-01T14:54:00Z</dcterms:created>
  <dcterms:modified xsi:type="dcterms:W3CDTF">2019-10-01T15:07:00Z</dcterms:modified>
</cp:coreProperties>
</file>