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87" w:rsidRPr="004C6D87" w:rsidRDefault="004C6D87" w:rsidP="004C6D87">
      <w:pPr>
        <w:spacing w:before="240" w:line="240" w:lineRule="auto"/>
        <w:jc w:val="center"/>
        <w:rPr>
          <w:rFonts w:ascii="Times New Roman" w:hAnsi="Times New Roman" w:cs="Times New Roman"/>
          <w:b/>
          <w:sz w:val="24"/>
          <w:szCs w:val="24"/>
        </w:rPr>
      </w:pPr>
      <w:r w:rsidRPr="004C6D87">
        <w:rPr>
          <w:rFonts w:ascii="Times New Roman" w:hAnsi="Times New Roman" w:cs="Times New Roman"/>
          <w:b/>
          <w:sz w:val="24"/>
          <w:szCs w:val="24"/>
        </w:rPr>
        <w:t xml:space="preserve"> </w:t>
      </w:r>
      <w:bookmarkStart w:id="0" w:name="_GoBack"/>
      <w:r w:rsidRPr="004C6D87">
        <w:rPr>
          <w:rFonts w:ascii="Times New Roman" w:hAnsi="Times New Roman" w:cs="Times New Roman"/>
          <w:b/>
          <w:sz w:val="24"/>
          <w:szCs w:val="24"/>
        </w:rPr>
        <w:t>«</w:t>
      </w:r>
      <w:r w:rsidR="00DA6501">
        <w:rPr>
          <w:rFonts w:ascii="Times New Roman" w:hAnsi="Times New Roman" w:cs="Times New Roman"/>
          <w:b/>
          <w:sz w:val="24"/>
          <w:szCs w:val="24"/>
        </w:rPr>
        <w:t>Познавательная мотивация как критерий эффективнос</w:t>
      </w:r>
      <w:r w:rsidR="00C1212A">
        <w:rPr>
          <w:rFonts w:ascii="Times New Roman" w:hAnsi="Times New Roman" w:cs="Times New Roman"/>
          <w:b/>
          <w:sz w:val="24"/>
          <w:szCs w:val="24"/>
        </w:rPr>
        <w:t>ти педагогической деятельности»</w:t>
      </w:r>
    </w:p>
    <w:bookmarkEnd w:id="0"/>
    <w:p w:rsidR="004C6D87" w:rsidRPr="004C6D87" w:rsidRDefault="004C6D87" w:rsidP="004C6D87">
      <w:pPr>
        <w:spacing w:before="240" w:line="240" w:lineRule="auto"/>
        <w:jc w:val="center"/>
        <w:rPr>
          <w:rFonts w:ascii="Times New Roman" w:hAnsi="Times New Roman" w:cs="Times New Roman"/>
          <w:b/>
          <w:sz w:val="24"/>
          <w:szCs w:val="24"/>
        </w:rPr>
      </w:pPr>
      <w:r w:rsidRPr="004C6D87">
        <w:rPr>
          <w:rFonts w:ascii="Times New Roman" w:hAnsi="Times New Roman" w:cs="Times New Roman"/>
          <w:b/>
          <w:sz w:val="24"/>
          <w:szCs w:val="24"/>
        </w:rPr>
        <w:t>Учитель химии и биологии</w:t>
      </w:r>
    </w:p>
    <w:p w:rsidR="004C6D87" w:rsidRPr="004C6D87" w:rsidRDefault="004C6D87" w:rsidP="004C6D87">
      <w:pPr>
        <w:spacing w:before="240" w:line="240" w:lineRule="auto"/>
        <w:jc w:val="center"/>
        <w:rPr>
          <w:rFonts w:ascii="Times New Roman" w:hAnsi="Times New Roman" w:cs="Times New Roman"/>
          <w:b/>
          <w:sz w:val="24"/>
          <w:szCs w:val="24"/>
        </w:rPr>
      </w:pPr>
      <w:r w:rsidRPr="004C6D87">
        <w:rPr>
          <w:rFonts w:ascii="Times New Roman" w:hAnsi="Times New Roman" w:cs="Times New Roman"/>
          <w:b/>
          <w:sz w:val="24"/>
          <w:szCs w:val="24"/>
        </w:rPr>
        <w:t xml:space="preserve"> ГБОУ СОШ № 250 Кировского района Санкт-Петербурга</w:t>
      </w:r>
    </w:p>
    <w:p w:rsidR="004C6D87" w:rsidRPr="004C6D87" w:rsidRDefault="004C6D87" w:rsidP="004C6D87">
      <w:pPr>
        <w:spacing w:before="240" w:line="240" w:lineRule="auto"/>
        <w:jc w:val="center"/>
        <w:rPr>
          <w:rFonts w:ascii="Times New Roman" w:hAnsi="Times New Roman" w:cs="Times New Roman"/>
          <w:b/>
          <w:sz w:val="24"/>
          <w:szCs w:val="24"/>
        </w:rPr>
      </w:pPr>
      <w:proofErr w:type="spellStart"/>
      <w:r w:rsidRPr="004C6D87">
        <w:rPr>
          <w:rFonts w:ascii="Times New Roman" w:hAnsi="Times New Roman" w:cs="Times New Roman"/>
          <w:b/>
          <w:sz w:val="24"/>
          <w:szCs w:val="24"/>
        </w:rPr>
        <w:t>Артюниной</w:t>
      </w:r>
      <w:proofErr w:type="spellEnd"/>
      <w:r w:rsidRPr="004C6D87">
        <w:rPr>
          <w:rFonts w:ascii="Times New Roman" w:hAnsi="Times New Roman" w:cs="Times New Roman"/>
          <w:b/>
          <w:sz w:val="24"/>
          <w:szCs w:val="24"/>
        </w:rPr>
        <w:t xml:space="preserve"> Ирины Петровны</w:t>
      </w:r>
    </w:p>
    <w:p w:rsid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Федеральный компонент образования определяет в качестве ведущей цели формирование ключевых компетенций. Это в свою очередь предполагает воспитание такой личности, которая не просто обладает достаточно большим багажом знаний (конкретных фактов), а умеет самостоятельно добывать знания и применять эти знания на практике. Таким образом, задачей учителя является не передача готовых знаний, а создание таких условий, в которых дети смогут быть активными участниками познавательной деятельности. В этих условиях основной идеей усовершенствования учебного процесса является формирование и развитие познавательной мотивации учащихся. </w:t>
      </w:r>
    </w:p>
    <w:p w:rsidR="004C6D87" w:rsidRPr="004C6D87" w:rsidRDefault="004C6D87" w:rsidP="004C6D87">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Pr="004C6D87">
        <w:rPr>
          <w:rFonts w:ascii="Times New Roman" w:hAnsi="Times New Roman" w:cs="Times New Roman"/>
          <w:sz w:val="24"/>
          <w:szCs w:val="24"/>
        </w:rPr>
        <w:t xml:space="preserve"> профессиональном стандарте педагога  указано на то, что учитель должен осуществлять трудовые действия, направленные на формирование у </w:t>
      </w:r>
      <w:proofErr w:type="gramStart"/>
      <w:r w:rsidRPr="004C6D87">
        <w:rPr>
          <w:rFonts w:ascii="Times New Roman" w:hAnsi="Times New Roman" w:cs="Times New Roman"/>
          <w:sz w:val="24"/>
          <w:szCs w:val="24"/>
        </w:rPr>
        <w:t>обучающихся</w:t>
      </w:r>
      <w:proofErr w:type="gramEnd"/>
      <w:r w:rsidRPr="004C6D87">
        <w:rPr>
          <w:rFonts w:ascii="Times New Roman" w:hAnsi="Times New Roman" w:cs="Times New Roman"/>
          <w:sz w:val="24"/>
          <w:szCs w:val="24"/>
        </w:rPr>
        <w:t xml:space="preserve"> мотивации к обучению и развитию познавательной активности. А также,  согласно требованиям федерального государственного стандарта образования</w:t>
      </w:r>
      <w:r>
        <w:rPr>
          <w:rFonts w:ascii="Times New Roman" w:hAnsi="Times New Roman" w:cs="Times New Roman"/>
          <w:sz w:val="24"/>
          <w:szCs w:val="24"/>
        </w:rPr>
        <w:t>, предъявляемым к личностным результатам обучения,</w:t>
      </w:r>
      <w:r w:rsidRPr="004C6D87">
        <w:rPr>
          <w:rFonts w:ascii="Times New Roman" w:hAnsi="Times New Roman" w:cs="Times New Roman"/>
          <w:sz w:val="24"/>
          <w:szCs w:val="24"/>
        </w:rPr>
        <w:t xml:space="preserve"> выпускники должны обладать сформированной мотивацией к обучению. Не секрет, что снижение познавательного интереса к изучению какой-либо дисциплины сопровождается снижением успеваемости по предмету. Дети, интересующиеся какой-либо дисциплиной, как правило, более успешны на уроках, им легче определиться с выбором будущей профессии. Развитие познавательного интереса способствует более глубокому изучению предмета, увеличению доли самостоятельного изучения материала.</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Таким образом, </w:t>
      </w:r>
      <w:r>
        <w:rPr>
          <w:rFonts w:ascii="Times New Roman" w:hAnsi="Times New Roman" w:cs="Times New Roman"/>
          <w:sz w:val="24"/>
          <w:szCs w:val="24"/>
        </w:rPr>
        <w:t>о</w:t>
      </w:r>
      <w:r w:rsidRPr="004C6D87">
        <w:rPr>
          <w:rFonts w:ascii="Times New Roman" w:hAnsi="Times New Roman" w:cs="Times New Roman"/>
          <w:sz w:val="24"/>
          <w:szCs w:val="24"/>
        </w:rPr>
        <w:t xml:space="preserve">дним из критериев эффективности педагогической деятельности можно рассматривать </w:t>
      </w:r>
      <w:proofErr w:type="spellStart"/>
      <w:r w:rsidRPr="004C6D87">
        <w:rPr>
          <w:rFonts w:ascii="Times New Roman" w:hAnsi="Times New Roman" w:cs="Times New Roman"/>
          <w:sz w:val="24"/>
          <w:szCs w:val="24"/>
        </w:rPr>
        <w:t>сформированность</w:t>
      </w:r>
      <w:proofErr w:type="spellEnd"/>
      <w:r w:rsidRPr="004C6D87">
        <w:rPr>
          <w:rFonts w:ascii="Times New Roman" w:hAnsi="Times New Roman" w:cs="Times New Roman"/>
          <w:sz w:val="24"/>
          <w:szCs w:val="24"/>
        </w:rPr>
        <w:t xml:space="preserve"> познавательной мотивации.</w:t>
      </w:r>
    </w:p>
    <w:p w:rsidR="004C6D87" w:rsidRPr="004C6D87" w:rsidRDefault="004C6D87" w:rsidP="004C6D87">
      <w:pPr>
        <w:spacing w:after="24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Любая деятельность, включая </w:t>
      </w:r>
      <w:proofErr w:type="spellStart"/>
      <w:r w:rsidRPr="004C6D87">
        <w:rPr>
          <w:rFonts w:ascii="Times New Roman" w:hAnsi="Times New Roman" w:cs="Times New Roman"/>
          <w:sz w:val="24"/>
          <w:szCs w:val="24"/>
        </w:rPr>
        <w:t>учебно</w:t>
      </w:r>
      <w:proofErr w:type="spellEnd"/>
      <w:r w:rsidRPr="004C6D87">
        <w:rPr>
          <w:rFonts w:ascii="Times New Roman" w:hAnsi="Times New Roman" w:cs="Times New Roman"/>
          <w:sz w:val="24"/>
          <w:szCs w:val="24"/>
        </w:rPr>
        <w:t xml:space="preserve"> – познавательную, стимулируется мотивами. Изучением мотивации к учению занимались многие педагоги. Среди наших современников можно выделить труды Марковой А.К. По ее мнению, «мотив учения — это направленность ученика на различные стороны учебной деятельности». </w:t>
      </w:r>
    </w:p>
    <w:p w:rsidR="004C6D87" w:rsidRPr="004C6D87" w:rsidRDefault="004C6D87" w:rsidP="004C6D87">
      <w:pPr>
        <w:spacing w:after="24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 </w:t>
      </w:r>
      <w:r>
        <w:rPr>
          <w:rFonts w:ascii="Times New Roman" w:hAnsi="Times New Roman" w:cs="Times New Roman"/>
          <w:sz w:val="24"/>
          <w:szCs w:val="24"/>
        </w:rPr>
        <w:t>А.К. Маркова различает</w:t>
      </w:r>
      <w:r w:rsidRPr="004C6D87">
        <w:rPr>
          <w:rFonts w:ascii="Times New Roman" w:hAnsi="Times New Roman" w:cs="Times New Roman"/>
          <w:sz w:val="24"/>
          <w:szCs w:val="24"/>
        </w:rPr>
        <w:t xml:space="preserve"> две большие группы мотивов:</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1) познавательные или внутренние мотивы, связанные с содержанием учебной деятельности и процессом ее выполнения (интерес к процессу решения задачи, к поиску способа решения, результату и т.д.);</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2) социальные или внешние мотивы, связанные с различными социальными взаимодействиями школьника с другими людьми. </w:t>
      </w:r>
    </w:p>
    <w:p w:rsid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Если без контроля и напоминания взрослого мотив не актуализируется, то, следовательно, он является внешним (социальным) для ученика. В ходе обучения учителю необходимо стремиться к тому, чтобы у учащихся </w:t>
      </w:r>
      <w:proofErr w:type="gramStart"/>
      <w:r w:rsidRPr="004C6D87">
        <w:rPr>
          <w:rFonts w:ascii="Times New Roman" w:hAnsi="Times New Roman" w:cs="Times New Roman"/>
          <w:sz w:val="24"/>
          <w:szCs w:val="24"/>
        </w:rPr>
        <w:t>формировались</w:t>
      </w:r>
      <w:proofErr w:type="gramEnd"/>
      <w:r w:rsidRPr="004C6D87">
        <w:rPr>
          <w:rFonts w:ascii="Times New Roman" w:hAnsi="Times New Roman" w:cs="Times New Roman"/>
          <w:sz w:val="24"/>
          <w:szCs w:val="24"/>
        </w:rPr>
        <w:t xml:space="preserve"> прежде всего внутренние (познавательные) мотивы.</w:t>
      </w:r>
    </w:p>
    <w:p w:rsidR="00073253" w:rsidRPr="00073253" w:rsidRDefault="00073253" w:rsidP="00073253">
      <w:pPr>
        <w:spacing w:line="240" w:lineRule="auto"/>
        <w:jc w:val="both"/>
        <w:rPr>
          <w:rFonts w:ascii="Times New Roman" w:hAnsi="Times New Roman" w:cs="Times New Roman"/>
          <w:sz w:val="24"/>
          <w:szCs w:val="24"/>
        </w:rPr>
      </w:pPr>
      <w:r w:rsidRPr="00073253">
        <w:rPr>
          <w:rFonts w:ascii="Times New Roman" w:hAnsi="Times New Roman" w:cs="Times New Roman"/>
          <w:sz w:val="24"/>
          <w:szCs w:val="24"/>
        </w:rPr>
        <w:t xml:space="preserve">Не секрет, что снижение познавательного интереса к изучению какой-либо дисциплины сопровождается снижением успеваемости по предмету. Дети, интересующиеся какой-либо </w:t>
      </w:r>
      <w:r w:rsidRPr="00073253">
        <w:rPr>
          <w:rFonts w:ascii="Times New Roman" w:hAnsi="Times New Roman" w:cs="Times New Roman"/>
          <w:sz w:val="24"/>
          <w:szCs w:val="24"/>
        </w:rPr>
        <w:lastRenderedPageBreak/>
        <w:t>дисциплиной, как правило, более успешны на уроках, им легче определиться с выбором будущей профессии. Развитие познавательного интереса способствует более глубокому изучению предмета, увеличению доли самостоятельного изучения материала.</w:t>
      </w:r>
    </w:p>
    <w:p w:rsidR="00073253" w:rsidRPr="004C6D87" w:rsidRDefault="00073253" w:rsidP="004C6D87">
      <w:pPr>
        <w:spacing w:line="240" w:lineRule="auto"/>
        <w:jc w:val="both"/>
        <w:rPr>
          <w:rFonts w:ascii="Times New Roman" w:hAnsi="Times New Roman" w:cs="Times New Roman"/>
          <w:sz w:val="24"/>
          <w:szCs w:val="24"/>
        </w:rPr>
      </w:pPr>
      <w:r>
        <w:rPr>
          <w:rFonts w:ascii="Times New Roman" w:hAnsi="Times New Roman" w:cs="Times New Roman"/>
          <w:sz w:val="24"/>
          <w:szCs w:val="24"/>
        </w:rPr>
        <w:t>Я думаю о формировании</w:t>
      </w:r>
      <w:r w:rsidRPr="00073253">
        <w:rPr>
          <w:rFonts w:ascii="Times New Roman" w:hAnsi="Times New Roman" w:cs="Times New Roman"/>
          <w:sz w:val="24"/>
          <w:szCs w:val="24"/>
        </w:rPr>
        <w:t xml:space="preserve"> мотиваци</w:t>
      </w:r>
      <w:r>
        <w:rPr>
          <w:rFonts w:ascii="Times New Roman" w:hAnsi="Times New Roman" w:cs="Times New Roman"/>
          <w:sz w:val="24"/>
          <w:szCs w:val="24"/>
        </w:rPr>
        <w:t xml:space="preserve">и к обучению можно </w:t>
      </w:r>
      <w:r w:rsidR="00272D48">
        <w:rPr>
          <w:rFonts w:ascii="Times New Roman" w:hAnsi="Times New Roman" w:cs="Times New Roman"/>
          <w:sz w:val="24"/>
          <w:szCs w:val="24"/>
        </w:rPr>
        <w:t xml:space="preserve">говорить </w:t>
      </w:r>
      <w:r>
        <w:rPr>
          <w:rFonts w:ascii="Times New Roman" w:hAnsi="Times New Roman" w:cs="Times New Roman"/>
          <w:sz w:val="24"/>
          <w:szCs w:val="24"/>
        </w:rPr>
        <w:t xml:space="preserve">только в том случае, </w:t>
      </w:r>
      <w:r w:rsidRPr="00073253">
        <w:rPr>
          <w:rFonts w:ascii="Times New Roman" w:hAnsi="Times New Roman" w:cs="Times New Roman"/>
          <w:sz w:val="24"/>
          <w:szCs w:val="24"/>
        </w:rPr>
        <w:t xml:space="preserve">если учитель демонстрирует ученику, что он может быть успешен при изучении дисциплины. Соответственно, необходимо применять такие методы и технологии, которые позволяют создавать ситуацию успеха на уроке. </w:t>
      </w:r>
    </w:p>
    <w:p w:rsidR="00073253" w:rsidRDefault="004C6D87" w:rsidP="00272D48">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Основными технологиями и методами, стимулирующими познавательную активность школьников</w:t>
      </w:r>
      <w:r w:rsidR="00073253">
        <w:rPr>
          <w:rFonts w:ascii="Times New Roman" w:hAnsi="Times New Roman" w:cs="Times New Roman"/>
          <w:sz w:val="24"/>
          <w:szCs w:val="24"/>
        </w:rPr>
        <w:t xml:space="preserve"> и создающими ситуацию ус</w:t>
      </w:r>
      <w:r w:rsidR="00272D48">
        <w:rPr>
          <w:rFonts w:ascii="Times New Roman" w:hAnsi="Times New Roman" w:cs="Times New Roman"/>
          <w:sz w:val="24"/>
          <w:szCs w:val="24"/>
        </w:rPr>
        <w:t>п</w:t>
      </w:r>
      <w:r w:rsidR="00073253">
        <w:rPr>
          <w:rFonts w:ascii="Times New Roman" w:hAnsi="Times New Roman" w:cs="Times New Roman"/>
          <w:sz w:val="24"/>
          <w:szCs w:val="24"/>
        </w:rPr>
        <w:t>еха</w:t>
      </w:r>
      <w:r w:rsidRPr="004C6D87">
        <w:rPr>
          <w:rFonts w:ascii="Times New Roman" w:hAnsi="Times New Roman" w:cs="Times New Roman"/>
          <w:sz w:val="24"/>
          <w:szCs w:val="24"/>
        </w:rPr>
        <w:t>, являются проблемное обучение, эвристическая беседа, творческие задания, игры, информационно – коммуникативные технологии. Применение различных технологий и методик зависит от возраста учащихся, их личностных особенностей.</w:t>
      </w:r>
      <w:r>
        <w:rPr>
          <w:rFonts w:ascii="Times New Roman" w:hAnsi="Times New Roman" w:cs="Times New Roman"/>
          <w:sz w:val="24"/>
          <w:szCs w:val="24"/>
        </w:rPr>
        <w:t xml:space="preserve"> </w:t>
      </w:r>
      <w:r w:rsidRPr="004C6D87">
        <w:rPr>
          <w:rFonts w:ascii="Times New Roman" w:hAnsi="Times New Roman" w:cs="Times New Roman"/>
          <w:sz w:val="24"/>
          <w:szCs w:val="24"/>
        </w:rPr>
        <w:t xml:space="preserve">Выбор средств и методов обучения должен опираться на целесообразность. </w:t>
      </w:r>
    </w:p>
    <w:p w:rsidR="00272D48" w:rsidRPr="00272D48" w:rsidRDefault="00272D48" w:rsidP="00272D48">
      <w:pPr>
        <w:spacing w:after="0" w:line="240" w:lineRule="auto"/>
        <w:jc w:val="both"/>
        <w:rPr>
          <w:rFonts w:ascii="Times New Roman" w:hAnsi="Times New Roman" w:cs="Times New Roman"/>
          <w:sz w:val="24"/>
          <w:szCs w:val="24"/>
        </w:rPr>
      </w:pPr>
    </w:p>
    <w:p w:rsidR="004C6D87" w:rsidRPr="004C6D87" w:rsidRDefault="004C6D87" w:rsidP="004C6D87">
      <w:pPr>
        <w:spacing w:after="240" w:line="240" w:lineRule="auto"/>
        <w:jc w:val="both"/>
        <w:rPr>
          <w:rFonts w:ascii="Times New Roman" w:hAnsi="Times New Roman" w:cs="Times New Roman"/>
          <w:bCs/>
          <w:iCs/>
          <w:sz w:val="24"/>
          <w:szCs w:val="24"/>
        </w:rPr>
      </w:pPr>
      <w:r w:rsidRPr="004C6D87">
        <w:rPr>
          <w:rFonts w:ascii="Times New Roman" w:hAnsi="Times New Roman" w:cs="Times New Roman"/>
          <w:bCs/>
          <w:iCs/>
          <w:sz w:val="24"/>
          <w:szCs w:val="24"/>
        </w:rPr>
        <w:t>Наиболее эффективными приемами активизации познавательной деятельности учащихся на уроках химии и биологии для меня являются:</w:t>
      </w:r>
    </w:p>
    <w:p w:rsidR="00073253" w:rsidRPr="00073253" w:rsidRDefault="004C6D87" w:rsidP="00073253">
      <w:pPr>
        <w:spacing w:line="240" w:lineRule="auto"/>
        <w:jc w:val="both"/>
        <w:rPr>
          <w:rFonts w:ascii="Times New Roman" w:hAnsi="Times New Roman" w:cs="Times New Roman"/>
          <w:sz w:val="24"/>
          <w:szCs w:val="24"/>
        </w:rPr>
      </w:pPr>
      <w:r w:rsidRPr="004C6D87">
        <w:rPr>
          <w:rFonts w:ascii="Times New Roman" w:hAnsi="Times New Roman" w:cs="Times New Roman"/>
          <w:i/>
          <w:sz w:val="24"/>
          <w:szCs w:val="24"/>
        </w:rPr>
        <w:t>1. Игры и игровые моменты на уроках.</w:t>
      </w:r>
      <w:r w:rsidR="00073253">
        <w:rPr>
          <w:rFonts w:ascii="Times New Roman" w:hAnsi="Times New Roman" w:cs="Times New Roman"/>
          <w:i/>
          <w:sz w:val="24"/>
          <w:szCs w:val="24"/>
        </w:rPr>
        <w:t xml:space="preserve"> </w:t>
      </w:r>
      <w:r w:rsidR="00073253" w:rsidRPr="00073253">
        <w:rPr>
          <w:rFonts w:ascii="Times New Roman" w:hAnsi="Times New Roman" w:cs="Times New Roman"/>
          <w:sz w:val="24"/>
          <w:szCs w:val="24"/>
        </w:rPr>
        <w:t>Игры можно использовать во всех классах на разных этапах урока.</w:t>
      </w:r>
      <w:r w:rsidR="00272D48">
        <w:rPr>
          <w:rFonts w:ascii="Times New Roman" w:hAnsi="Times New Roman" w:cs="Times New Roman"/>
          <w:sz w:val="24"/>
          <w:szCs w:val="24"/>
        </w:rPr>
        <w:t xml:space="preserve"> </w:t>
      </w:r>
      <w:r w:rsidR="00073253" w:rsidRPr="00073253">
        <w:rPr>
          <w:rFonts w:ascii="Times New Roman" w:hAnsi="Times New Roman" w:cs="Times New Roman"/>
          <w:sz w:val="24"/>
          <w:szCs w:val="24"/>
        </w:rPr>
        <w:t>Игры повышают эмоциональный фон на уроке, способствуют поддержанию интереса к предмету. Дети в игру быстро включаются, не испытывают страха при ответе. Конечно,  дидактические игры повышают ситуативный интерес, формируют только внешние мотивы. Но они позволяют поддерживать детскую любознательность, которая является ступенькой на пути формирования мотивации к обучению. Наполнение игр зависит от возраста и решаемой учебной задачи.</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а) «Кто здесь лишний?»</w:t>
      </w:r>
    </w:p>
    <w:p w:rsidR="004C6D87" w:rsidRPr="004C6D87" w:rsidRDefault="00272D48" w:rsidP="00272D48">
      <w:pPr>
        <w:spacing w:line="240" w:lineRule="auto"/>
        <w:jc w:val="both"/>
        <w:rPr>
          <w:rFonts w:ascii="Times New Roman" w:hAnsi="Times New Roman" w:cs="Times New Roman"/>
          <w:sz w:val="24"/>
          <w:szCs w:val="24"/>
        </w:rPr>
      </w:pPr>
      <w:r>
        <w:rPr>
          <w:rFonts w:ascii="Times New Roman" w:hAnsi="Times New Roman" w:cs="Times New Roman"/>
          <w:sz w:val="24"/>
          <w:szCs w:val="24"/>
        </w:rPr>
        <w:t>У</w:t>
      </w:r>
      <w:r w:rsidR="004C6D87" w:rsidRPr="004C6D87">
        <w:rPr>
          <w:rFonts w:ascii="Times New Roman" w:hAnsi="Times New Roman" w:cs="Times New Roman"/>
          <w:sz w:val="24"/>
          <w:szCs w:val="24"/>
        </w:rPr>
        <w:t xml:space="preserve">чащимся предлагается набор материалов (рисунки, открытки, названия, гербарии и т.д.), четыре элемента из которых принадлежат к одной изучаемой категории, а пятый элемент случайный. Учащимся надо обнаружить «лишний» элемент и аргументировать свою точку зрения. </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б)</w:t>
      </w:r>
      <w:proofErr w:type="gramStart"/>
      <w:r w:rsidRPr="004C6D87">
        <w:rPr>
          <w:rFonts w:ascii="Times New Roman" w:hAnsi="Times New Roman" w:cs="Times New Roman"/>
          <w:sz w:val="24"/>
          <w:szCs w:val="24"/>
        </w:rPr>
        <w:t>«К</w:t>
      </w:r>
      <w:proofErr w:type="gramEnd"/>
      <w:r w:rsidRPr="004C6D87">
        <w:rPr>
          <w:rFonts w:ascii="Times New Roman" w:hAnsi="Times New Roman" w:cs="Times New Roman"/>
          <w:sz w:val="24"/>
          <w:szCs w:val="24"/>
        </w:rPr>
        <w:t>рестики – нолики»</w:t>
      </w:r>
    </w:p>
    <w:p w:rsidR="00272D48"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Эту игру можно использовать практически на любом уроке, как для проверки домашнего задания, так и на этапе закрепления. Особенно эффективны подобные игры при изучении классов химических соединений, признаков химических реакций, типов реакций, свойств отдельных классов соединений. Наполнение игрового поля зависит от решаемой конкретной педагогической задачи на уроке. </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Например:</w:t>
      </w:r>
    </w:p>
    <w:p w:rsidR="004C6D87" w:rsidRPr="004C6D87" w:rsidRDefault="004C6D87" w:rsidP="004C6D87">
      <w:pPr>
        <w:spacing w:before="240" w:line="240" w:lineRule="auto"/>
        <w:jc w:val="both"/>
        <w:rPr>
          <w:rFonts w:ascii="Times New Roman" w:hAnsi="Times New Roman" w:cs="Times New Roman"/>
          <w:sz w:val="24"/>
          <w:szCs w:val="24"/>
        </w:rPr>
      </w:pPr>
      <w:r w:rsidRPr="004C6D87">
        <w:rPr>
          <w:rFonts w:ascii="Times New Roman" w:hAnsi="Times New Roman" w:cs="Times New Roman"/>
          <w:sz w:val="24"/>
          <w:szCs w:val="24"/>
        </w:rPr>
        <w:t>8 - 9 класс: Изучение свой</w:t>
      </w:r>
      <w:proofErr w:type="gramStart"/>
      <w:r w:rsidRPr="004C6D87">
        <w:rPr>
          <w:rFonts w:ascii="Times New Roman" w:hAnsi="Times New Roman" w:cs="Times New Roman"/>
          <w:sz w:val="24"/>
          <w:szCs w:val="24"/>
        </w:rPr>
        <w:t>ств кл</w:t>
      </w:r>
      <w:proofErr w:type="gramEnd"/>
      <w:r w:rsidRPr="004C6D87">
        <w:rPr>
          <w:rFonts w:ascii="Times New Roman" w:hAnsi="Times New Roman" w:cs="Times New Roman"/>
          <w:sz w:val="24"/>
          <w:szCs w:val="24"/>
        </w:rPr>
        <w:t>ассов соединений: определить в каком ряду по горизонтали, диагонали или вертикали находятся</w:t>
      </w:r>
      <w:r>
        <w:rPr>
          <w:rFonts w:ascii="Times New Roman" w:hAnsi="Times New Roman" w:cs="Times New Roman"/>
          <w:sz w:val="24"/>
          <w:szCs w:val="24"/>
        </w:rPr>
        <w:t xml:space="preserve"> </w:t>
      </w:r>
      <w:r w:rsidRPr="004C6D87">
        <w:rPr>
          <w:rFonts w:ascii="Times New Roman" w:hAnsi="Times New Roman" w:cs="Times New Roman"/>
          <w:sz w:val="24"/>
          <w:szCs w:val="24"/>
        </w:rPr>
        <w:t xml:space="preserve">вещества, реагирующие с </w:t>
      </w:r>
      <w:r w:rsidRPr="004C6D87">
        <w:rPr>
          <w:rFonts w:ascii="Times New Roman" w:hAnsi="Times New Roman" w:cs="Times New Roman"/>
          <w:sz w:val="24"/>
          <w:szCs w:val="24"/>
          <w:lang w:val="en-US"/>
        </w:rPr>
        <w:t>P</w:t>
      </w:r>
      <w:r w:rsidRPr="004C6D87">
        <w:rPr>
          <w:rFonts w:ascii="Times New Roman" w:hAnsi="Times New Roman" w:cs="Times New Roman"/>
          <w:sz w:val="24"/>
          <w:szCs w:val="24"/>
          <w:vertAlign w:val="subscript"/>
        </w:rPr>
        <w:t>2</w:t>
      </w:r>
      <w:r w:rsidRPr="004C6D87">
        <w:rPr>
          <w:rFonts w:ascii="Times New Roman" w:hAnsi="Times New Roman" w:cs="Times New Roman"/>
          <w:sz w:val="24"/>
          <w:szCs w:val="24"/>
          <w:lang w:val="en-US"/>
        </w:rPr>
        <w:t>O</w:t>
      </w:r>
      <w:r w:rsidRPr="004C6D87">
        <w:rPr>
          <w:rFonts w:ascii="Times New Roman" w:hAnsi="Times New Roman" w:cs="Times New Roman"/>
          <w:sz w:val="24"/>
          <w:szCs w:val="24"/>
          <w:vertAlign w:val="subscript"/>
        </w:rPr>
        <w:t>5</w:t>
      </w:r>
      <w:r w:rsidRPr="004C6D87">
        <w:rPr>
          <w:rFonts w:ascii="Times New Roman" w:hAnsi="Times New Roman" w:cs="Times New Roman"/>
          <w:sz w:val="24"/>
          <w:szCs w:val="24"/>
        </w:rPr>
        <w:t>, аргументировать свой ответ; можно попросить записать уравнения соответствующих реакций.</w:t>
      </w:r>
    </w:p>
    <w:tbl>
      <w:tblPr>
        <w:tblStyle w:val="a3"/>
        <w:tblW w:w="0" w:type="auto"/>
        <w:tblLook w:val="01E0" w:firstRow="1" w:lastRow="1" w:firstColumn="1" w:lastColumn="1" w:noHBand="0" w:noVBand="0"/>
      </w:tblPr>
      <w:tblGrid>
        <w:gridCol w:w="670"/>
        <w:gridCol w:w="1070"/>
        <w:gridCol w:w="736"/>
      </w:tblGrid>
      <w:tr w:rsidR="004C6D87" w:rsidRPr="004C6D87" w:rsidTr="00812649">
        <w:tc>
          <w:tcPr>
            <w:tcW w:w="0" w:type="auto"/>
          </w:tcPr>
          <w:p w:rsidR="004C6D87" w:rsidRPr="004C6D87" w:rsidRDefault="004C6D87" w:rsidP="004C6D87">
            <w:pPr>
              <w:spacing w:before="240"/>
              <w:jc w:val="both"/>
              <w:rPr>
                <w:rFonts w:eastAsiaTheme="minorHAnsi"/>
                <w:sz w:val="24"/>
                <w:szCs w:val="24"/>
              </w:rPr>
            </w:pPr>
            <w:r w:rsidRPr="004C6D87">
              <w:rPr>
                <w:rFonts w:eastAsiaTheme="minorHAnsi"/>
                <w:sz w:val="24"/>
                <w:szCs w:val="24"/>
                <w:lang w:val="en-US"/>
              </w:rPr>
              <w:t>H</w:t>
            </w:r>
            <w:r w:rsidRPr="004C6D87">
              <w:rPr>
                <w:rFonts w:eastAsiaTheme="minorHAnsi"/>
                <w:sz w:val="24"/>
                <w:szCs w:val="24"/>
                <w:vertAlign w:val="subscript"/>
              </w:rPr>
              <w:t>2</w:t>
            </w:r>
            <w:r w:rsidRPr="004C6D87">
              <w:rPr>
                <w:rFonts w:eastAsiaTheme="minorHAnsi"/>
                <w:sz w:val="24"/>
                <w:szCs w:val="24"/>
              </w:rPr>
              <w:t>0</w:t>
            </w:r>
          </w:p>
        </w:tc>
        <w:tc>
          <w:tcPr>
            <w:tcW w:w="0" w:type="auto"/>
          </w:tcPr>
          <w:p w:rsidR="004C6D87" w:rsidRPr="004C6D87" w:rsidRDefault="004C6D87" w:rsidP="004C6D87">
            <w:pPr>
              <w:spacing w:before="240"/>
              <w:jc w:val="both"/>
              <w:rPr>
                <w:rFonts w:eastAsiaTheme="minorHAnsi"/>
                <w:sz w:val="24"/>
                <w:szCs w:val="24"/>
              </w:rPr>
            </w:pPr>
            <w:proofErr w:type="spellStart"/>
            <w:r w:rsidRPr="004C6D87">
              <w:rPr>
                <w:rFonts w:eastAsiaTheme="minorHAnsi"/>
                <w:sz w:val="24"/>
                <w:szCs w:val="24"/>
                <w:lang w:val="en-US"/>
              </w:rPr>
              <w:t>HCl</w:t>
            </w:r>
            <w:proofErr w:type="spellEnd"/>
          </w:p>
        </w:tc>
        <w:tc>
          <w:tcPr>
            <w:tcW w:w="0" w:type="auto"/>
          </w:tcPr>
          <w:p w:rsidR="004C6D87" w:rsidRPr="004C6D87" w:rsidRDefault="004C6D87" w:rsidP="004C6D87">
            <w:pPr>
              <w:spacing w:before="240"/>
              <w:jc w:val="both"/>
              <w:rPr>
                <w:rFonts w:eastAsiaTheme="minorHAnsi"/>
                <w:sz w:val="24"/>
                <w:szCs w:val="24"/>
              </w:rPr>
            </w:pPr>
            <w:r w:rsidRPr="004C6D87">
              <w:rPr>
                <w:rFonts w:eastAsiaTheme="minorHAnsi"/>
                <w:sz w:val="24"/>
                <w:szCs w:val="24"/>
                <w:lang w:val="en-US"/>
              </w:rPr>
              <w:t>N</w:t>
            </w:r>
            <w:r w:rsidRPr="004C6D87">
              <w:rPr>
                <w:rFonts w:eastAsiaTheme="minorHAnsi"/>
                <w:sz w:val="24"/>
                <w:szCs w:val="24"/>
                <w:vertAlign w:val="subscript"/>
              </w:rPr>
              <w:t>2</w:t>
            </w:r>
            <w:r w:rsidRPr="004C6D87">
              <w:rPr>
                <w:rFonts w:eastAsiaTheme="minorHAnsi"/>
                <w:sz w:val="24"/>
                <w:szCs w:val="24"/>
                <w:lang w:val="en-US"/>
              </w:rPr>
              <w:t>O</w:t>
            </w:r>
          </w:p>
        </w:tc>
      </w:tr>
      <w:tr w:rsidR="004C6D87" w:rsidRPr="004C6D87" w:rsidTr="00812649">
        <w:tc>
          <w:tcPr>
            <w:tcW w:w="0" w:type="auto"/>
          </w:tcPr>
          <w:p w:rsidR="004C6D87" w:rsidRPr="004C6D87" w:rsidRDefault="004C6D87" w:rsidP="004C6D87">
            <w:pPr>
              <w:spacing w:before="240"/>
              <w:jc w:val="both"/>
              <w:rPr>
                <w:rFonts w:eastAsiaTheme="minorHAnsi"/>
                <w:sz w:val="24"/>
                <w:szCs w:val="24"/>
              </w:rPr>
            </w:pPr>
            <w:r w:rsidRPr="004C6D87">
              <w:rPr>
                <w:rFonts w:eastAsiaTheme="minorHAnsi"/>
                <w:sz w:val="24"/>
                <w:szCs w:val="24"/>
                <w:lang w:val="en-US"/>
              </w:rPr>
              <w:t>O</w:t>
            </w:r>
            <w:r w:rsidRPr="004C6D87">
              <w:rPr>
                <w:rFonts w:eastAsiaTheme="minorHAnsi"/>
                <w:sz w:val="24"/>
                <w:szCs w:val="24"/>
                <w:vertAlign w:val="subscript"/>
              </w:rPr>
              <w:t>2</w:t>
            </w:r>
          </w:p>
        </w:tc>
        <w:tc>
          <w:tcPr>
            <w:tcW w:w="0" w:type="auto"/>
          </w:tcPr>
          <w:p w:rsidR="004C6D87" w:rsidRPr="004C6D87" w:rsidRDefault="004C6D87" w:rsidP="004C6D87">
            <w:pPr>
              <w:spacing w:before="240"/>
              <w:jc w:val="both"/>
              <w:rPr>
                <w:rFonts w:eastAsiaTheme="minorHAnsi"/>
                <w:sz w:val="24"/>
                <w:szCs w:val="24"/>
              </w:rPr>
            </w:pPr>
            <w:r w:rsidRPr="004C6D87">
              <w:rPr>
                <w:rFonts w:eastAsiaTheme="minorHAnsi"/>
                <w:sz w:val="24"/>
                <w:szCs w:val="24"/>
                <w:lang w:val="en-US"/>
              </w:rPr>
              <w:t>Na</w:t>
            </w:r>
            <w:r w:rsidRPr="004C6D87">
              <w:rPr>
                <w:rFonts w:eastAsiaTheme="minorHAnsi"/>
                <w:sz w:val="24"/>
                <w:szCs w:val="24"/>
                <w:vertAlign w:val="subscript"/>
              </w:rPr>
              <w:t>2</w:t>
            </w:r>
            <w:r w:rsidRPr="004C6D87">
              <w:rPr>
                <w:rFonts w:eastAsiaTheme="minorHAnsi"/>
                <w:sz w:val="24"/>
                <w:szCs w:val="24"/>
                <w:lang w:val="en-US"/>
              </w:rPr>
              <w:t>O</w:t>
            </w:r>
          </w:p>
        </w:tc>
        <w:tc>
          <w:tcPr>
            <w:tcW w:w="0" w:type="auto"/>
          </w:tcPr>
          <w:p w:rsidR="004C6D87" w:rsidRPr="004C6D87" w:rsidRDefault="004C6D87" w:rsidP="004C6D87">
            <w:pPr>
              <w:spacing w:before="240"/>
              <w:jc w:val="both"/>
              <w:rPr>
                <w:rFonts w:eastAsiaTheme="minorHAnsi"/>
                <w:sz w:val="24"/>
                <w:szCs w:val="24"/>
              </w:rPr>
            </w:pPr>
            <w:r w:rsidRPr="004C6D87">
              <w:rPr>
                <w:rFonts w:eastAsiaTheme="minorHAnsi"/>
                <w:sz w:val="24"/>
                <w:szCs w:val="24"/>
                <w:lang w:val="en-US"/>
              </w:rPr>
              <w:t>S</w:t>
            </w:r>
            <w:r w:rsidRPr="004C6D87">
              <w:rPr>
                <w:rFonts w:eastAsiaTheme="minorHAnsi"/>
                <w:sz w:val="24"/>
                <w:szCs w:val="24"/>
              </w:rPr>
              <w:t>0</w:t>
            </w:r>
            <w:r w:rsidRPr="004C6D87">
              <w:rPr>
                <w:rFonts w:eastAsiaTheme="minorHAnsi"/>
                <w:sz w:val="24"/>
                <w:szCs w:val="24"/>
                <w:vertAlign w:val="subscript"/>
              </w:rPr>
              <w:t>3</w:t>
            </w:r>
          </w:p>
        </w:tc>
      </w:tr>
      <w:tr w:rsidR="004C6D87" w:rsidRPr="004C6D87" w:rsidTr="00812649">
        <w:tc>
          <w:tcPr>
            <w:tcW w:w="0" w:type="auto"/>
          </w:tcPr>
          <w:p w:rsidR="004C6D87" w:rsidRPr="004C6D87" w:rsidRDefault="004C6D87" w:rsidP="004C6D87">
            <w:pPr>
              <w:spacing w:before="240"/>
              <w:jc w:val="both"/>
              <w:rPr>
                <w:rFonts w:eastAsiaTheme="minorHAnsi"/>
                <w:sz w:val="24"/>
                <w:szCs w:val="24"/>
              </w:rPr>
            </w:pPr>
            <w:proofErr w:type="spellStart"/>
            <w:r w:rsidRPr="004C6D87">
              <w:rPr>
                <w:rFonts w:eastAsiaTheme="minorHAnsi"/>
                <w:sz w:val="24"/>
                <w:szCs w:val="24"/>
                <w:lang w:val="en-US"/>
              </w:rPr>
              <w:t>CuO</w:t>
            </w:r>
            <w:proofErr w:type="spellEnd"/>
          </w:p>
        </w:tc>
        <w:tc>
          <w:tcPr>
            <w:tcW w:w="0" w:type="auto"/>
          </w:tcPr>
          <w:p w:rsidR="004C6D87" w:rsidRPr="004C6D87" w:rsidRDefault="004C6D87" w:rsidP="004C6D87">
            <w:pPr>
              <w:spacing w:before="240"/>
              <w:jc w:val="both"/>
              <w:rPr>
                <w:rFonts w:eastAsiaTheme="minorHAnsi"/>
                <w:sz w:val="24"/>
                <w:szCs w:val="24"/>
              </w:rPr>
            </w:pPr>
            <w:r w:rsidRPr="004C6D87">
              <w:rPr>
                <w:rFonts w:eastAsiaTheme="minorHAnsi"/>
                <w:sz w:val="24"/>
                <w:szCs w:val="24"/>
                <w:lang w:val="en-US"/>
              </w:rPr>
              <w:t>Zn</w:t>
            </w:r>
            <w:r w:rsidRPr="004C6D87">
              <w:rPr>
                <w:rFonts w:eastAsiaTheme="minorHAnsi"/>
                <w:sz w:val="24"/>
                <w:szCs w:val="24"/>
              </w:rPr>
              <w:t>(</w:t>
            </w:r>
            <w:r w:rsidRPr="004C6D87">
              <w:rPr>
                <w:rFonts w:eastAsiaTheme="minorHAnsi"/>
                <w:sz w:val="24"/>
                <w:szCs w:val="24"/>
                <w:lang w:val="en-US"/>
              </w:rPr>
              <w:t>OH</w:t>
            </w:r>
            <w:r w:rsidRPr="004C6D87">
              <w:rPr>
                <w:rFonts w:eastAsiaTheme="minorHAnsi"/>
                <w:sz w:val="24"/>
                <w:szCs w:val="24"/>
              </w:rPr>
              <w:t>)</w:t>
            </w:r>
            <w:r w:rsidRPr="004C6D87">
              <w:rPr>
                <w:rFonts w:eastAsiaTheme="minorHAnsi"/>
                <w:sz w:val="24"/>
                <w:szCs w:val="24"/>
                <w:vertAlign w:val="subscript"/>
              </w:rPr>
              <w:t>2</w:t>
            </w:r>
          </w:p>
        </w:tc>
        <w:tc>
          <w:tcPr>
            <w:tcW w:w="0" w:type="auto"/>
          </w:tcPr>
          <w:p w:rsidR="004C6D87" w:rsidRPr="004C6D87" w:rsidRDefault="004C6D87" w:rsidP="004C6D87">
            <w:pPr>
              <w:spacing w:before="240"/>
              <w:jc w:val="both"/>
              <w:rPr>
                <w:rFonts w:eastAsiaTheme="minorHAnsi"/>
                <w:sz w:val="24"/>
                <w:szCs w:val="24"/>
              </w:rPr>
            </w:pPr>
            <w:r w:rsidRPr="004C6D87">
              <w:rPr>
                <w:rFonts w:eastAsiaTheme="minorHAnsi"/>
                <w:sz w:val="24"/>
                <w:szCs w:val="24"/>
                <w:lang w:val="en-US"/>
              </w:rPr>
              <w:t>KOH</w:t>
            </w:r>
          </w:p>
        </w:tc>
      </w:tr>
    </w:tbl>
    <w:p w:rsidR="004C6D87" w:rsidRPr="004C6D87" w:rsidRDefault="004C6D87" w:rsidP="004C6D87">
      <w:pPr>
        <w:spacing w:before="240" w:after="0" w:line="240" w:lineRule="auto"/>
        <w:jc w:val="both"/>
        <w:rPr>
          <w:rFonts w:ascii="Times New Roman" w:hAnsi="Times New Roman" w:cs="Times New Roman"/>
          <w:sz w:val="24"/>
          <w:szCs w:val="24"/>
        </w:rPr>
      </w:pPr>
    </w:p>
    <w:p w:rsidR="004C6D87" w:rsidRPr="004C6D87" w:rsidRDefault="004C6D87" w:rsidP="004C6D87">
      <w:pPr>
        <w:spacing w:before="240"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10 класс: найдите линию, объединяющую формулы </w:t>
      </w:r>
      <w:proofErr w:type="spellStart"/>
      <w:r w:rsidRPr="004C6D87">
        <w:rPr>
          <w:rFonts w:ascii="Times New Roman" w:hAnsi="Times New Roman" w:cs="Times New Roman"/>
          <w:sz w:val="24"/>
          <w:szCs w:val="24"/>
        </w:rPr>
        <w:t>алкенов</w:t>
      </w:r>
      <w:proofErr w:type="spellEnd"/>
      <w:r w:rsidRPr="004C6D87">
        <w:rPr>
          <w:rFonts w:ascii="Times New Roman" w:hAnsi="Times New Roman" w:cs="Times New Roman"/>
          <w:sz w:val="24"/>
          <w:szCs w:val="24"/>
        </w:rPr>
        <w:t>:</w:t>
      </w:r>
    </w:p>
    <w:tbl>
      <w:tblPr>
        <w:tblStyle w:val="a3"/>
        <w:tblW w:w="0" w:type="auto"/>
        <w:tblLook w:val="01E0" w:firstRow="1" w:lastRow="1" w:firstColumn="1" w:lastColumn="1" w:noHBand="0" w:noVBand="0"/>
      </w:tblPr>
      <w:tblGrid>
        <w:gridCol w:w="1310"/>
        <w:gridCol w:w="790"/>
        <w:gridCol w:w="790"/>
      </w:tblGrid>
      <w:tr w:rsidR="004C6D87" w:rsidRPr="004C6D87" w:rsidTr="00812649">
        <w:tc>
          <w:tcPr>
            <w:tcW w:w="0" w:type="auto"/>
          </w:tcPr>
          <w:p w:rsidR="004C6D87" w:rsidRPr="004C6D87" w:rsidRDefault="004C6D87" w:rsidP="004C6D87">
            <w:pPr>
              <w:spacing w:before="240"/>
              <w:jc w:val="both"/>
              <w:rPr>
                <w:sz w:val="24"/>
                <w:szCs w:val="24"/>
              </w:rPr>
            </w:pPr>
            <w:r w:rsidRPr="004C6D87">
              <w:rPr>
                <w:sz w:val="24"/>
                <w:szCs w:val="24"/>
              </w:rPr>
              <w:t>СН</w:t>
            </w:r>
            <w:r w:rsidRPr="004C6D87">
              <w:rPr>
                <w:sz w:val="24"/>
                <w:szCs w:val="24"/>
                <w:vertAlign w:val="subscript"/>
              </w:rPr>
              <w:t>3</w:t>
            </w:r>
            <w:r w:rsidRPr="004C6D87">
              <w:rPr>
                <w:sz w:val="24"/>
                <w:szCs w:val="24"/>
              </w:rPr>
              <w:t>СООН</w:t>
            </w:r>
          </w:p>
        </w:tc>
        <w:tc>
          <w:tcPr>
            <w:tcW w:w="0" w:type="auto"/>
          </w:tcPr>
          <w:p w:rsidR="004C6D87" w:rsidRPr="004C6D87" w:rsidRDefault="004C6D87" w:rsidP="004C6D87">
            <w:pPr>
              <w:spacing w:before="240"/>
              <w:jc w:val="both"/>
              <w:rPr>
                <w:sz w:val="24"/>
                <w:szCs w:val="24"/>
              </w:rPr>
            </w:pPr>
            <w:r w:rsidRPr="004C6D87">
              <w:rPr>
                <w:sz w:val="24"/>
                <w:szCs w:val="24"/>
              </w:rPr>
              <w:t>С</w:t>
            </w:r>
            <w:r w:rsidRPr="004C6D87">
              <w:rPr>
                <w:sz w:val="24"/>
                <w:szCs w:val="24"/>
                <w:vertAlign w:val="subscript"/>
              </w:rPr>
              <w:t>3</w:t>
            </w:r>
            <w:r w:rsidRPr="004C6D87">
              <w:rPr>
                <w:sz w:val="24"/>
                <w:szCs w:val="24"/>
              </w:rPr>
              <w:t>Н</w:t>
            </w:r>
            <w:r w:rsidRPr="004C6D87">
              <w:rPr>
                <w:sz w:val="24"/>
                <w:szCs w:val="24"/>
                <w:vertAlign w:val="subscript"/>
              </w:rPr>
              <w:t>6</w:t>
            </w:r>
          </w:p>
        </w:tc>
        <w:tc>
          <w:tcPr>
            <w:tcW w:w="0" w:type="auto"/>
          </w:tcPr>
          <w:p w:rsidR="004C6D87" w:rsidRPr="004C6D87" w:rsidRDefault="004C6D87" w:rsidP="004C6D87">
            <w:pPr>
              <w:spacing w:before="240"/>
              <w:jc w:val="both"/>
              <w:rPr>
                <w:sz w:val="24"/>
                <w:szCs w:val="24"/>
              </w:rPr>
            </w:pPr>
            <w:r w:rsidRPr="004C6D87">
              <w:rPr>
                <w:sz w:val="24"/>
                <w:szCs w:val="24"/>
              </w:rPr>
              <w:t>СН</w:t>
            </w:r>
            <w:proofErr w:type="gramStart"/>
            <w:r w:rsidRPr="004C6D87">
              <w:rPr>
                <w:sz w:val="24"/>
                <w:szCs w:val="24"/>
                <w:vertAlign w:val="subscript"/>
              </w:rPr>
              <w:t>4</w:t>
            </w:r>
            <w:proofErr w:type="gramEnd"/>
          </w:p>
        </w:tc>
      </w:tr>
      <w:tr w:rsidR="004C6D87" w:rsidRPr="004C6D87" w:rsidTr="00812649">
        <w:tc>
          <w:tcPr>
            <w:tcW w:w="0" w:type="auto"/>
          </w:tcPr>
          <w:p w:rsidR="004C6D87" w:rsidRPr="004C6D87" w:rsidRDefault="004C6D87" w:rsidP="004C6D87">
            <w:pPr>
              <w:spacing w:before="240"/>
              <w:jc w:val="both"/>
              <w:rPr>
                <w:sz w:val="24"/>
                <w:szCs w:val="24"/>
              </w:rPr>
            </w:pPr>
            <w:r w:rsidRPr="004C6D87">
              <w:rPr>
                <w:sz w:val="24"/>
                <w:szCs w:val="24"/>
              </w:rPr>
              <w:t>С</w:t>
            </w:r>
            <w:r w:rsidRPr="004C6D87">
              <w:rPr>
                <w:sz w:val="24"/>
                <w:szCs w:val="24"/>
                <w:vertAlign w:val="subscript"/>
              </w:rPr>
              <w:t>2</w:t>
            </w:r>
            <w:r w:rsidRPr="004C6D87">
              <w:rPr>
                <w:sz w:val="24"/>
                <w:szCs w:val="24"/>
              </w:rPr>
              <w:t>Н</w:t>
            </w:r>
            <w:r w:rsidRPr="004C6D87">
              <w:rPr>
                <w:sz w:val="24"/>
                <w:szCs w:val="24"/>
                <w:vertAlign w:val="subscript"/>
              </w:rPr>
              <w:t>2</w:t>
            </w:r>
          </w:p>
        </w:tc>
        <w:tc>
          <w:tcPr>
            <w:tcW w:w="0" w:type="auto"/>
          </w:tcPr>
          <w:p w:rsidR="004C6D87" w:rsidRPr="004C6D87" w:rsidRDefault="004C6D87" w:rsidP="004C6D87">
            <w:pPr>
              <w:spacing w:before="240"/>
              <w:jc w:val="both"/>
              <w:rPr>
                <w:sz w:val="24"/>
                <w:szCs w:val="24"/>
              </w:rPr>
            </w:pPr>
            <w:r w:rsidRPr="004C6D87">
              <w:rPr>
                <w:sz w:val="24"/>
                <w:szCs w:val="24"/>
              </w:rPr>
              <w:t>С</w:t>
            </w:r>
            <w:r w:rsidRPr="004C6D87">
              <w:rPr>
                <w:sz w:val="24"/>
                <w:szCs w:val="24"/>
                <w:vertAlign w:val="subscript"/>
              </w:rPr>
              <w:t>2</w:t>
            </w:r>
            <w:r w:rsidRPr="004C6D87">
              <w:rPr>
                <w:sz w:val="24"/>
                <w:szCs w:val="24"/>
              </w:rPr>
              <w:t>Н</w:t>
            </w:r>
            <w:r w:rsidRPr="004C6D87">
              <w:rPr>
                <w:sz w:val="24"/>
                <w:szCs w:val="24"/>
                <w:vertAlign w:val="subscript"/>
              </w:rPr>
              <w:t>4</w:t>
            </w:r>
          </w:p>
        </w:tc>
        <w:tc>
          <w:tcPr>
            <w:tcW w:w="0" w:type="auto"/>
          </w:tcPr>
          <w:p w:rsidR="004C6D87" w:rsidRPr="004C6D87" w:rsidRDefault="004C6D87" w:rsidP="004C6D87">
            <w:pPr>
              <w:spacing w:before="240"/>
              <w:jc w:val="both"/>
              <w:rPr>
                <w:sz w:val="24"/>
                <w:szCs w:val="24"/>
              </w:rPr>
            </w:pPr>
            <w:r w:rsidRPr="004C6D87">
              <w:rPr>
                <w:sz w:val="24"/>
                <w:szCs w:val="24"/>
              </w:rPr>
              <w:t>С</w:t>
            </w:r>
            <w:r w:rsidRPr="004C6D87">
              <w:rPr>
                <w:sz w:val="24"/>
                <w:szCs w:val="24"/>
                <w:vertAlign w:val="subscript"/>
              </w:rPr>
              <w:t>2</w:t>
            </w:r>
            <w:r w:rsidRPr="004C6D87">
              <w:rPr>
                <w:sz w:val="24"/>
                <w:szCs w:val="24"/>
              </w:rPr>
              <w:t>Н</w:t>
            </w:r>
            <w:r w:rsidRPr="004C6D87">
              <w:rPr>
                <w:sz w:val="24"/>
                <w:szCs w:val="24"/>
                <w:vertAlign w:val="subscript"/>
              </w:rPr>
              <w:t>6</w:t>
            </w:r>
          </w:p>
        </w:tc>
      </w:tr>
      <w:tr w:rsidR="004C6D87" w:rsidRPr="004C6D87" w:rsidTr="00812649">
        <w:tc>
          <w:tcPr>
            <w:tcW w:w="0" w:type="auto"/>
          </w:tcPr>
          <w:p w:rsidR="004C6D87" w:rsidRPr="004C6D87" w:rsidRDefault="004C6D87" w:rsidP="004C6D87">
            <w:pPr>
              <w:spacing w:before="240"/>
              <w:jc w:val="both"/>
              <w:rPr>
                <w:sz w:val="24"/>
                <w:szCs w:val="24"/>
              </w:rPr>
            </w:pPr>
            <w:r w:rsidRPr="004C6D87">
              <w:rPr>
                <w:sz w:val="24"/>
                <w:szCs w:val="24"/>
              </w:rPr>
              <w:t>С</w:t>
            </w:r>
            <w:r w:rsidRPr="004C6D87">
              <w:rPr>
                <w:sz w:val="24"/>
                <w:szCs w:val="24"/>
                <w:vertAlign w:val="subscript"/>
              </w:rPr>
              <w:t>2</w:t>
            </w:r>
            <w:r w:rsidRPr="004C6D87">
              <w:rPr>
                <w:sz w:val="24"/>
                <w:szCs w:val="24"/>
              </w:rPr>
              <w:t>Н</w:t>
            </w:r>
            <w:r w:rsidRPr="004C6D87">
              <w:rPr>
                <w:sz w:val="24"/>
                <w:szCs w:val="24"/>
                <w:vertAlign w:val="subscript"/>
              </w:rPr>
              <w:t>5</w:t>
            </w:r>
            <w:r w:rsidRPr="004C6D87">
              <w:rPr>
                <w:sz w:val="24"/>
                <w:szCs w:val="24"/>
              </w:rPr>
              <w:t>ОН</w:t>
            </w:r>
          </w:p>
        </w:tc>
        <w:tc>
          <w:tcPr>
            <w:tcW w:w="0" w:type="auto"/>
          </w:tcPr>
          <w:p w:rsidR="004C6D87" w:rsidRPr="004C6D87" w:rsidRDefault="004C6D87" w:rsidP="004C6D87">
            <w:pPr>
              <w:spacing w:before="240"/>
              <w:jc w:val="both"/>
              <w:rPr>
                <w:sz w:val="24"/>
                <w:szCs w:val="24"/>
              </w:rPr>
            </w:pPr>
            <w:r w:rsidRPr="004C6D87">
              <w:rPr>
                <w:sz w:val="24"/>
                <w:szCs w:val="24"/>
              </w:rPr>
              <w:t>С</w:t>
            </w:r>
            <w:r w:rsidRPr="004C6D87">
              <w:rPr>
                <w:sz w:val="24"/>
                <w:szCs w:val="24"/>
                <w:vertAlign w:val="subscript"/>
              </w:rPr>
              <w:t>5</w:t>
            </w:r>
            <w:r w:rsidRPr="004C6D87">
              <w:rPr>
                <w:sz w:val="24"/>
                <w:szCs w:val="24"/>
              </w:rPr>
              <w:t>Н</w:t>
            </w:r>
            <w:r w:rsidRPr="004C6D87">
              <w:rPr>
                <w:sz w:val="24"/>
                <w:szCs w:val="24"/>
                <w:vertAlign w:val="subscript"/>
              </w:rPr>
              <w:t>10</w:t>
            </w:r>
          </w:p>
        </w:tc>
        <w:tc>
          <w:tcPr>
            <w:tcW w:w="0" w:type="auto"/>
          </w:tcPr>
          <w:p w:rsidR="004C6D87" w:rsidRPr="004C6D87" w:rsidRDefault="004C6D87" w:rsidP="004C6D87">
            <w:pPr>
              <w:spacing w:before="240"/>
              <w:jc w:val="both"/>
              <w:rPr>
                <w:sz w:val="24"/>
                <w:szCs w:val="24"/>
              </w:rPr>
            </w:pPr>
            <w:r w:rsidRPr="004C6D87">
              <w:rPr>
                <w:sz w:val="24"/>
                <w:szCs w:val="24"/>
              </w:rPr>
              <w:t>С</w:t>
            </w:r>
            <w:r w:rsidRPr="004C6D87">
              <w:rPr>
                <w:sz w:val="24"/>
                <w:szCs w:val="24"/>
                <w:vertAlign w:val="subscript"/>
              </w:rPr>
              <w:t>7</w:t>
            </w:r>
            <w:r w:rsidRPr="004C6D87">
              <w:rPr>
                <w:sz w:val="24"/>
                <w:szCs w:val="24"/>
              </w:rPr>
              <w:t>Н</w:t>
            </w:r>
            <w:r w:rsidRPr="004C6D87">
              <w:rPr>
                <w:sz w:val="24"/>
                <w:szCs w:val="24"/>
                <w:vertAlign w:val="subscript"/>
              </w:rPr>
              <w:t>14</w:t>
            </w:r>
          </w:p>
        </w:tc>
      </w:tr>
    </w:tbl>
    <w:p w:rsidR="004C6D87" w:rsidRPr="004C6D87" w:rsidRDefault="004C6D87" w:rsidP="004C6D87">
      <w:pPr>
        <w:spacing w:before="240" w:after="0" w:line="240" w:lineRule="auto"/>
        <w:jc w:val="both"/>
        <w:rPr>
          <w:rFonts w:ascii="Times New Roman" w:hAnsi="Times New Roman" w:cs="Times New Roman"/>
          <w:sz w:val="24"/>
          <w:szCs w:val="24"/>
        </w:rPr>
      </w:pPr>
    </w:p>
    <w:p w:rsidR="004C6D87" w:rsidRPr="004C6D87" w:rsidRDefault="004C6D87" w:rsidP="004C6D87">
      <w:pPr>
        <w:spacing w:before="240"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8 класс: определите, в каком ряду по горизонтали, диагонали или вертикали  находятся элементы – металлы:</w:t>
      </w:r>
    </w:p>
    <w:tbl>
      <w:tblPr>
        <w:tblStyle w:val="a3"/>
        <w:tblpPr w:leftFromText="180" w:rightFromText="180" w:vertAnchor="text" w:tblpY="1"/>
        <w:tblOverlap w:val="never"/>
        <w:tblW w:w="0" w:type="auto"/>
        <w:tblLook w:val="01E0" w:firstRow="1" w:lastRow="1" w:firstColumn="1" w:lastColumn="1" w:noHBand="0" w:noVBand="0"/>
      </w:tblPr>
      <w:tblGrid>
        <w:gridCol w:w="483"/>
        <w:gridCol w:w="510"/>
        <w:gridCol w:w="550"/>
      </w:tblGrid>
      <w:tr w:rsidR="004C6D87" w:rsidRPr="004C6D87" w:rsidTr="00812649">
        <w:tc>
          <w:tcPr>
            <w:tcW w:w="0" w:type="auto"/>
          </w:tcPr>
          <w:p w:rsidR="004C6D87" w:rsidRPr="004C6D87" w:rsidRDefault="004C6D87" w:rsidP="004C6D87">
            <w:pPr>
              <w:spacing w:before="240"/>
              <w:jc w:val="both"/>
              <w:rPr>
                <w:sz w:val="24"/>
                <w:szCs w:val="24"/>
                <w:lang w:val="en-US"/>
              </w:rPr>
            </w:pPr>
            <w:r w:rsidRPr="004C6D87">
              <w:rPr>
                <w:sz w:val="24"/>
                <w:szCs w:val="24"/>
                <w:lang w:val="en-US"/>
              </w:rPr>
              <w:t>K</w:t>
            </w:r>
          </w:p>
        </w:tc>
        <w:tc>
          <w:tcPr>
            <w:tcW w:w="0" w:type="auto"/>
          </w:tcPr>
          <w:p w:rsidR="004C6D87" w:rsidRPr="004C6D87" w:rsidRDefault="004C6D87" w:rsidP="004C6D87">
            <w:pPr>
              <w:spacing w:before="240"/>
              <w:jc w:val="both"/>
              <w:rPr>
                <w:sz w:val="24"/>
                <w:szCs w:val="24"/>
                <w:lang w:val="en-US"/>
              </w:rPr>
            </w:pPr>
            <w:proofErr w:type="spellStart"/>
            <w:r w:rsidRPr="004C6D87">
              <w:rPr>
                <w:sz w:val="24"/>
                <w:szCs w:val="24"/>
                <w:lang w:val="en-US"/>
              </w:rPr>
              <w:t>Ca</w:t>
            </w:r>
            <w:proofErr w:type="spellEnd"/>
          </w:p>
        </w:tc>
        <w:tc>
          <w:tcPr>
            <w:tcW w:w="0" w:type="auto"/>
          </w:tcPr>
          <w:p w:rsidR="004C6D87" w:rsidRPr="004C6D87" w:rsidRDefault="004C6D87" w:rsidP="004C6D87">
            <w:pPr>
              <w:spacing w:before="240"/>
              <w:jc w:val="both"/>
              <w:rPr>
                <w:sz w:val="24"/>
                <w:szCs w:val="24"/>
                <w:lang w:val="en-US"/>
              </w:rPr>
            </w:pPr>
            <w:r w:rsidRPr="004C6D87">
              <w:rPr>
                <w:sz w:val="24"/>
                <w:szCs w:val="24"/>
                <w:lang w:val="en-US"/>
              </w:rPr>
              <w:t>O</w:t>
            </w:r>
          </w:p>
        </w:tc>
      </w:tr>
      <w:tr w:rsidR="004C6D87" w:rsidRPr="004C6D87" w:rsidTr="00812649">
        <w:tc>
          <w:tcPr>
            <w:tcW w:w="0" w:type="auto"/>
          </w:tcPr>
          <w:p w:rsidR="004C6D87" w:rsidRPr="004C6D87" w:rsidRDefault="004C6D87" w:rsidP="004C6D87">
            <w:pPr>
              <w:spacing w:before="240"/>
              <w:jc w:val="both"/>
              <w:rPr>
                <w:sz w:val="24"/>
                <w:szCs w:val="24"/>
                <w:lang w:val="en-US"/>
              </w:rPr>
            </w:pPr>
            <w:r w:rsidRPr="004C6D87">
              <w:rPr>
                <w:sz w:val="24"/>
                <w:szCs w:val="24"/>
                <w:lang w:val="en-US"/>
              </w:rPr>
              <w:t>C</w:t>
            </w:r>
          </w:p>
        </w:tc>
        <w:tc>
          <w:tcPr>
            <w:tcW w:w="0" w:type="auto"/>
          </w:tcPr>
          <w:p w:rsidR="004C6D87" w:rsidRPr="004C6D87" w:rsidRDefault="004C6D87" w:rsidP="004C6D87">
            <w:pPr>
              <w:spacing w:before="240"/>
              <w:jc w:val="both"/>
              <w:rPr>
                <w:sz w:val="24"/>
                <w:szCs w:val="24"/>
                <w:lang w:val="en-US"/>
              </w:rPr>
            </w:pPr>
            <w:r w:rsidRPr="004C6D87">
              <w:rPr>
                <w:sz w:val="24"/>
                <w:szCs w:val="24"/>
                <w:lang w:val="en-US"/>
              </w:rPr>
              <w:t>N</w:t>
            </w:r>
          </w:p>
        </w:tc>
        <w:tc>
          <w:tcPr>
            <w:tcW w:w="0" w:type="auto"/>
          </w:tcPr>
          <w:p w:rsidR="004C6D87" w:rsidRPr="004C6D87" w:rsidRDefault="004C6D87" w:rsidP="004C6D87">
            <w:pPr>
              <w:spacing w:before="240"/>
              <w:jc w:val="both"/>
              <w:rPr>
                <w:sz w:val="24"/>
                <w:szCs w:val="24"/>
                <w:lang w:val="en-US"/>
              </w:rPr>
            </w:pPr>
            <w:r w:rsidRPr="004C6D87">
              <w:rPr>
                <w:sz w:val="24"/>
                <w:szCs w:val="24"/>
                <w:lang w:val="en-US"/>
              </w:rPr>
              <w:t>Al</w:t>
            </w:r>
          </w:p>
        </w:tc>
      </w:tr>
      <w:tr w:rsidR="004C6D87" w:rsidRPr="004C6D87" w:rsidTr="00812649">
        <w:tc>
          <w:tcPr>
            <w:tcW w:w="0" w:type="auto"/>
          </w:tcPr>
          <w:p w:rsidR="004C6D87" w:rsidRPr="004C6D87" w:rsidRDefault="004C6D87" w:rsidP="004C6D87">
            <w:pPr>
              <w:spacing w:before="240"/>
              <w:jc w:val="both"/>
              <w:rPr>
                <w:sz w:val="24"/>
                <w:szCs w:val="24"/>
                <w:lang w:val="en-US"/>
              </w:rPr>
            </w:pPr>
            <w:r w:rsidRPr="004C6D87">
              <w:rPr>
                <w:sz w:val="24"/>
                <w:szCs w:val="24"/>
                <w:lang w:val="en-US"/>
              </w:rPr>
              <w:t>Zn</w:t>
            </w:r>
          </w:p>
        </w:tc>
        <w:tc>
          <w:tcPr>
            <w:tcW w:w="0" w:type="auto"/>
          </w:tcPr>
          <w:p w:rsidR="004C6D87" w:rsidRPr="004C6D87" w:rsidRDefault="004C6D87" w:rsidP="004C6D87">
            <w:pPr>
              <w:spacing w:before="240"/>
              <w:jc w:val="both"/>
              <w:rPr>
                <w:sz w:val="24"/>
                <w:szCs w:val="24"/>
                <w:lang w:val="en-US"/>
              </w:rPr>
            </w:pPr>
            <w:r w:rsidRPr="004C6D87">
              <w:rPr>
                <w:sz w:val="24"/>
                <w:szCs w:val="24"/>
                <w:lang w:val="en-US"/>
              </w:rPr>
              <w:t>Ag</w:t>
            </w:r>
          </w:p>
        </w:tc>
        <w:tc>
          <w:tcPr>
            <w:tcW w:w="0" w:type="auto"/>
          </w:tcPr>
          <w:p w:rsidR="004C6D87" w:rsidRPr="004C6D87" w:rsidRDefault="004C6D87" w:rsidP="004C6D87">
            <w:pPr>
              <w:spacing w:before="240"/>
              <w:jc w:val="both"/>
              <w:rPr>
                <w:sz w:val="24"/>
                <w:szCs w:val="24"/>
                <w:lang w:val="en-US"/>
              </w:rPr>
            </w:pPr>
            <w:r w:rsidRPr="004C6D87">
              <w:rPr>
                <w:sz w:val="24"/>
                <w:szCs w:val="24"/>
                <w:lang w:val="en-US"/>
              </w:rPr>
              <w:t>Mg</w:t>
            </w:r>
          </w:p>
        </w:tc>
      </w:tr>
    </w:tbl>
    <w:p w:rsidR="004C6D87" w:rsidRPr="004C6D87" w:rsidRDefault="004C6D87" w:rsidP="004C6D87">
      <w:pPr>
        <w:spacing w:before="240"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br/>
      </w:r>
    </w:p>
    <w:p w:rsidR="004C6D87" w:rsidRPr="004C6D87" w:rsidRDefault="004C6D87" w:rsidP="004C6D87">
      <w:pPr>
        <w:spacing w:before="240" w:after="0" w:line="240" w:lineRule="auto"/>
        <w:jc w:val="both"/>
        <w:rPr>
          <w:rFonts w:ascii="Times New Roman" w:hAnsi="Times New Roman" w:cs="Times New Roman"/>
          <w:sz w:val="24"/>
          <w:szCs w:val="24"/>
        </w:rPr>
      </w:pPr>
    </w:p>
    <w:p w:rsidR="004C6D87" w:rsidRPr="004C6D87" w:rsidRDefault="004C6D87" w:rsidP="004C6D87">
      <w:pPr>
        <w:spacing w:before="240" w:after="0" w:line="240" w:lineRule="auto"/>
        <w:jc w:val="both"/>
        <w:rPr>
          <w:rFonts w:ascii="Times New Roman" w:hAnsi="Times New Roman" w:cs="Times New Roman"/>
          <w:sz w:val="24"/>
          <w:szCs w:val="24"/>
        </w:rPr>
      </w:pPr>
    </w:p>
    <w:p w:rsidR="004C6D87" w:rsidRPr="004C6D87" w:rsidRDefault="004C6D87" w:rsidP="004C6D87">
      <w:pPr>
        <w:spacing w:before="240"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в) «Слова»</w:t>
      </w:r>
    </w:p>
    <w:p w:rsidR="004C6D87" w:rsidRPr="004C6D87" w:rsidRDefault="004C6D87" w:rsidP="004C6D87">
      <w:pPr>
        <w:spacing w:before="240"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 Игра проводится по вариантам: </w:t>
      </w:r>
      <w:proofErr w:type="gramStart"/>
      <w:r w:rsidRPr="004C6D87">
        <w:rPr>
          <w:rFonts w:ascii="Times New Roman" w:hAnsi="Times New Roman" w:cs="Times New Roman"/>
          <w:sz w:val="24"/>
          <w:szCs w:val="24"/>
        </w:rPr>
        <w:t>сидящие</w:t>
      </w:r>
      <w:proofErr w:type="gramEnd"/>
      <w:r w:rsidRPr="004C6D87">
        <w:rPr>
          <w:rFonts w:ascii="Times New Roman" w:hAnsi="Times New Roman" w:cs="Times New Roman"/>
          <w:sz w:val="24"/>
          <w:szCs w:val="24"/>
        </w:rPr>
        <w:t xml:space="preserve"> за первыми столами записывают на листок название, например, химического элемента и передают его следующему ученику, который должен написать рядом название другого элемента, начинающегося на букву, которой кончается первое слово и т. д.</w:t>
      </w:r>
    </w:p>
    <w:p w:rsidR="004C6D87" w:rsidRPr="004C6D87" w:rsidRDefault="004C6D87" w:rsidP="004C6D87">
      <w:pPr>
        <w:spacing w:before="240"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Цинк – кобальт – тантал – лантан - …</w:t>
      </w:r>
    </w:p>
    <w:p w:rsidR="004C6D87" w:rsidRPr="004C6D87" w:rsidRDefault="004C6D87" w:rsidP="004C6D87">
      <w:pPr>
        <w:spacing w:before="240" w:after="0" w:line="240" w:lineRule="auto"/>
        <w:jc w:val="both"/>
        <w:rPr>
          <w:rFonts w:ascii="Times New Roman" w:hAnsi="Times New Roman" w:cs="Times New Roman"/>
          <w:sz w:val="24"/>
          <w:szCs w:val="24"/>
        </w:rPr>
      </w:pP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г) «Составь слово»</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 В 10 классе при повторении курса органической химии учащимся предлагается из букв слова «</w:t>
      </w:r>
      <w:proofErr w:type="spellStart"/>
      <w:r w:rsidRPr="004C6D87">
        <w:rPr>
          <w:rFonts w:ascii="Times New Roman" w:hAnsi="Times New Roman" w:cs="Times New Roman"/>
          <w:sz w:val="24"/>
          <w:szCs w:val="24"/>
        </w:rPr>
        <w:t>Декарбоксилирование</w:t>
      </w:r>
      <w:proofErr w:type="spellEnd"/>
      <w:r w:rsidRPr="004C6D87">
        <w:rPr>
          <w:rFonts w:ascii="Times New Roman" w:hAnsi="Times New Roman" w:cs="Times New Roman"/>
          <w:sz w:val="24"/>
          <w:szCs w:val="24"/>
        </w:rPr>
        <w:t xml:space="preserve">» составить как можно больше химических понятий (можно составить 20 слов) и дать им характеристику. </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д) Для стиму</w:t>
      </w:r>
      <w:r w:rsidR="00272D48">
        <w:rPr>
          <w:rFonts w:ascii="Times New Roman" w:hAnsi="Times New Roman" w:cs="Times New Roman"/>
          <w:sz w:val="24"/>
          <w:szCs w:val="24"/>
        </w:rPr>
        <w:t>ляции познавательного интереса можно</w:t>
      </w:r>
      <w:r w:rsidRPr="004C6D87">
        <w:rPr>
          <w:rFonts w:ascii="Times New Roman" w:hAnsi="Times New Roman" w:cs="Times New Roman"/>
          <w:sz w:val="24"/>
          <w:szCs w:val="24"/>
        </w:rPr>
        <w:t xml:space="preserve"> использ</w:t>
      </w:r>
      <w:r w:rsidR="00272D48">
        <w:rPr>
          <w:rFonts w:ascii="Times New Roman" w:hAnsi="Times New Roman" w:cs="Times New Roman"/>
          <w:sz w:val="24"/>
          <w:szCs w:val="24"/>
        </w:rPr>
        <w:t>овать</w:t>
      </w:r>
      <w:r w:rsidRPr="004C6D87">
        <w:rPr>
          <w:rFonts w:ascii="Times New Roman" w:hAnsi="Times New Roman" w:cs="Times New Roman"/>
          <w:sz w:val="24"/>
          <w:szCs w:val="24"/>
        </w:rPr>
        <w:t xml:space="preserve"> ребусы, кроссворды, шарады. Например, из перепутанных букв составить понятие и дать его характеристику (</w:t>
      </w:r>
      <w:proofErr w:type="spellStart"/>
      <w:r w:rsidRPr="004C6D87">
        <w:rPr>
          <w:rFonts w:ascii="Times New Roman" w:hAnsi="Times New Roman" w:cs="Times New Roman"/>
          <w:sz w:val="24"/>
          <w:szCs w:val="24"/>
        </w:rPr>
        <w:t>зотгнеоеон</w:t>
      </w:r>
      <w:proofErr w:type="spellEnd"/>
      <w:r w:rsidRPr="004C6D87">
        <w:rPr>
          <w:rFonts w:ascii="Times New Roman" w:hAnsi="Times New Roman" w:cs="Times New Roman"/>
          <w:sz w:val="24"/>
          <w:szCs w:val="24"/>
        </w:rPr>
        <w:t xml:space="preserve"> = онтогенез). </w:t>
      </w:r>
    </w:p>
    <w:p w:rsidR="00073253" w:rsidRDefault="004C6D87" w:rsidP="00073253">
      <w:pPr>
        <w:spacing w:before="240" w:line="240" w:lineRule="auto"/>
        <w:jc w:val="both"/>
        <w:rPr>
          <w:rFonts w:ascii="Times New Roman" w:hAnsi="Times New Roman" w:cs="Times New Roman"/>
          <w:sz w:val="24"/>
          <w:szCs w:val="24"/>
        </w:rPr>
      </w:pPr>
      <w:r w:rsidRPr="004C6D87">
        <w:rPr>
          <w:rFonts w:ascii="Times New Roman" w:hAnsi="Times New Roman" w:cs="Times New Roman"/>
          <w:i/>
          <w:sz w:val="24"/>
          <w:szCs w:val="24"/>
        </w:rPr>
        <w:t>2. Проблемное обучение.</w:t>
      </w:r>
      <w:r w:rsidRPr="004C6D87">
        <w:rPr>
          <w:rFonts w:ascii="Times New Roman" w:hAnsi="Times New Roman" w:cs="Times New Roman"/>
          <w:sz w:val="24"/>
          <w:szCs w:val="24"/>
        </w:rPr>
        <w:t xml:space="preserve"> Данная технология предполагает не передачу готовых знаний, а создание условий поиска истины. </w:t>
      </w:r>
      <w:proofErr w:type="gramStart"/>
      <w:r w:rsidR="00073253" w:rsidRPr="00073253">
        <w:rPr>
          <w:rFonts w:ascii="Times New Roman" w:hAnsi="Times New Roman" w:cs="Times New Roman"/>
          <w:sz w:val="24"/>
          <w:szCs w:val="24"/>
        </w:rPr>
        <w:t>Решение проблемной ситуации</w:t>
      </w:r>
      <w:proofErr w:type="gramEnd"/>
      <w:r w:rsidR="00073253" w:rsidRPr="00073253">
        <w:rPr>
          <w:rFonts w:ascii="Times New Roman" w:hAnsi="Times New Roman" w:cs="Times New Roman"/>
          <w:sz w:val="24"/>
          <w:szCs w:val="24"/>
        </w:rPr>
        <w:t xml:space="preserve"> на уроке всегда вызывает эмоциональный всплеск, споры, заставляет учащихся думать, аргументировать свою точку зрения, даже слабые учащиеся не боятся высказывать свою точку зрения, т.к. поиск путей решения опирается на личный опыт. </w:t>
      </w:r>
      <w:r w:rsidRPr="004C6D87">
        <w:rPr>
          <w:rFonts w:ascii="Times New Roman" w:hAnsi="Times New Roman" w:cs="Times New Roman"/>
          <w:sz w:val="24"/>
          <w:szCs w:val="24"/>
        </w:rPr>
        <w:t>Например, в 7 классе при изучении особенностей внешнего и внутреннего строения земноводных, задаю вопрос: «Земноводные являются первыми наземными животными. С какими трудностями при освоении суши столкнулись эти первопроходцы?» Ребята делают предположения, находят пути решения и сравнивают их с «изобретениями» природы.</w:t>
      </w:r>
      <w:r w:rsidR="00073253" w:rsidRPr="00073253">
        <w:rPr>
          <w:rFonts w:ascii="Times New Roman" w:hAnsi="Times New Roman" w:cs="Times New Roman"/>
          <w:sz w:val="24"/>
          <w:szCs w:val="24"/>
        </w:rPr>
        <w:t xml:space="preserve"> </w:t>
      </w:r>
    </w:p>
    <w:p w:rsidR="00073253" w:rsidRDefault="00073253" w:rsidP="00073253">
      <w:pPr>
        <w:spacing w:before="240" w:line="240" w:lineRule="auto"/>
        <w:jc w:val="both"/>
        <w:rPr>
          <w:rFonts w:ascii="Times New Roman" w:hAnsi="Times New Roman" w:cs="Times New Roman"/>
          <w:sz w:val="24"/>
          <w:szCs w:val="24"/>
        </w:rPr>
      </w:pPr>
      <w:r w:rsidRPr="00073253">
        <w:rPr>
          <w:rFonts w:ascii="Times New Roman" w:hAnsi="Times New Roman" w:cs="Times New Roman"/>
          <w:sz w:val="24"/>
          <w:szCs w:val="24"/>
        </w:rPr>
        <w:t xml:space="preserve">Для установления причинно-следственных связей использую диаграмму «Рыба». </w:t>
      </w:r>
    </w:p>
    <w:p w:rsidR="004C6D87" w:rsidRPr="004C6D87" w:rsidRDefault="00073253" w:rsidP="004C6D87">
      <w:pPr>
        <w:spacing w:before="240" w:line="240" w:lineRule="auto"/>
        <w:jc w:val="both"/>
        <w:rPr>
          <w:rFonts w:ascii="Times New Roman" w:hAnsi="Times New Roman" w:cs="Times New Roman"/>
          <w:sz w:val="24"/>
          <w:szCs w:val="24"/>
        </w:rPr>
      </w:pPr>
      <w:r w:rsidRPr="00073253">
        <w:rPr>
          <w:rFonts w:ascii="Times New Roman" w:hAnsi="Times New Roman" w:cs="Times New Roman"/>
          <w:sz w:val="24"/>
          <w:szCs w:val="24"/>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62.75pt" o:ole="">
            <v:imagedata r:id="rId6" o:title=""/>
          </v:shape>
          <o:OLEObject Type="Embed" ProgID="PowerPoint.Slide.12" ShapeID="_x0000_i1025" DrawAspect="Content" ObjectID="_1578760271" r:id="rId7"/>
        </w:object>
      </w:r>
      <w:proofErr w:type="gramStart"/>
      <w:r w:rsidRPr="00073253">
        <w:rPr>
          <w:rFonts w:ascii="Times New Roman" w:hAnsi="Times New Roman" w:cs="Times New Roman"/>
          <w:sz w:val="24"/>
          <w:szCs w:val="24"/>
        </w:rPr>
        <w:t>При обсуждении экологических проблем на верхних косточках пишем причины, на нижних – последствия, в хвосте пути решения.</w:t>
      </w:r>
      <w:proofErr w:type="gramEnd"/>
      <w:r w:rsidRPr="00073253">
        <w:rPr>
          <w:rFonts w:ascii="Times New Roman" w:hAnsi="Times New Roman" w:cs="Times New Roman"/>
          <w:sz w:val="24"/>
          <w:szCs w:val="24"/>
        </w:rPr>
        <w:t xml:space="preserve"> Эту диаграмму можно использовать как опорный конспект по химии: </w:t>
      </w:r>
      <w:proofErr w:type="spellStart"/>
      <w:r w:rsidRPr="00073253">
        <w:rPr>
          <w:rFonts w:ascii="Times New Roman" w:hAnsi="Times New Roman" w:cs="Times New Roman"/>
          <w:sz w:val="24"/>
          <w:szCs w:val="24"/>
        </w:rPr>
        <w:t>алканы</w:t>
      </w:r>
      <w:proofErr w:type="spellEnd"/>
      <w:r w:rsidRPr="00073253">
        <w:rPr>
          <w:rFonts w:ascii="Times New Roman" w:hAnsi="Times New Roman" w:cs="Times New Roman"/>
          <w:sz w:val="24"/>
          <w:szCs w:val="24"/>
        </w:rPr>
        <w:t xml:space="preserve"> – строени</w:t>
      </w:r>
      <w:r w:rsidR="00851D43">
        <w:rPr>
          <w:rFonts w:ascii="Times New Roman" w:hAnsi="Times New Roman" w:cs="Times New Roman"/>
          <w:sz w:val="24"/>
          <w:szCs w:val="24"/>
        </w:rPr>
        <w:t xml:space="preserve">е – свойства – применение. </w:t>
      </w:r>
    </w:p>
    <w:p w:rsidR="004C6D87" w:rsidRDefault="004C6D87" w:rsidP="004C6D87">
      <w:pPr>
        <w:spacing w:before="240" w:line="240" w:lineRule="auto"/>
        <w:jc w:val="both"/>
        <w:rPr>
          <w:rFonts w:ascii="Times New Roman" w:hAnsi="Times New Roman" w:cs="Times New Roman"/>
          <w:sz w:val="24"/>
          <w:szCs w:val="24"/>
        </w:rPr>
      </w:pPr>
      <w:r w:rsidRPr="004C6D87">
        <w:rPr>
          <w:rFonts w:ascii="Times New Roman" w:hAnsi="Times New Roman" w:cs="Times New Roman"/>
          <w:i/>
          <w:sz w:val="24"/>
          <w:szCs w:val="24"/>
        </w:rPr>
        <w:t>3. Информационно-коммуникативные технологии.</w:t>
      </w:r>
      <w:r w:rsidR="00272D48">
        <w:rPr>
          <w:rFonts w:ascii="Times New Roman" w:hAnsi="Times New Roman" w:cs="Times New Roman"/>
          <w:i/>
          <w:sz w:val="24"/>
          <w:szCs w:val="24"/>
        </w:rPr>
        <w:t xml:space="preserve"> </w:t>
      </w:r>
      <w:r w:rsidRPr="004C6D87">
        <w:rPr>
          <w:rFonts w:ascii="Times New Roman" w:hAnsi="Times New Roman" w:cs="Times New Roman"/>
          <w:sz w:val="24"/>
          <w:szCs w:val="24"/>
        </w:rPr>
        <w:t>В эру компьютеризации учитель не может не использовать в своей педагогической практике возможностей электронных образовательных ресурсов. Это и богатый иллюстративный материал, и возможность проводить групповую работу, и тестирование, и самоподготовка учащихся, и виртуальные лабораторные работы. Использование электронных образовательных ресурсов  позволяет сделать урок более динамичным, интересным, эффективным.</w:t>
      </w:r>
    </w:p>
    <w:p w:rsidR="00E54EB3" w:rsidRDefault="00851D43" w:rsidP="00851D43">
      <w:pPr>
        <w:spacing w:before="240" w:line="240" w:lineRule="auto"/>
        <w:jc w:val="both"/>
        <w:rPr>
          <w:rFonts w:ascii="Times New Roman" w:hAnsi="Times New Roman" w:cs="Times New Roman"/>
          <w:sz w:val="24"/>
          <w:szCs w:val="24"/>
        </w:rPr>
      </w:pPr>
      <w:r w:rsidRPr="00851D43">
        <w:rPr>
          <w:rFonts w:ascii="Times New Roman" w:hAnsi="Times New Roman" w:cs="Times New Roman"/>
          <w:sz w:val="24"/>
          <w:szCs w:val="24"/>
        </w:rPr>
        <w:t xml:space="preserve">Дети сами с удовольствием готовят презентации, подбирают иллюстрации по выбранной тематике. В конце учебного года провожу урок – конференцию в 9 – 11 классах «Портретная галерея великих химиков», «Именные реакции в органической химии», «Открытия в области биологии, которые изменили мир». При подготовке к уроку дети </w:t>
      </w:r>
      <w:r w:rsidR="00272D48">
        <w:rPr>
          <w:rFonts w:ascii="Times New Roman" w:hAnsi="Times New Roman" w:cs="Times New Roman"/>
          <w:sz w:val="24"/>
          <w:szCs w:val="24"/>
        </w:rPr>
        <w:t xml:space="preserve">самостоятельно выбирают тему, </w:t>
      </w:r>
      <w:r w:rsidRPr="00851D43">
        <w:rPr>
          <w:rFonts w:ascii="Times New Roman" w:hAnsi="Times New Roman" w:cs="Times New Roman"/>
          <w:sz w:val="24"/>
          <w:szCs w:val="24"/>
        </w:rPr>
        <w:t>готовят презентации по определенному плану и в соответствии с заранее озвученными критериями.</w:t>
      </w:r>
      <w:r w:rsidR="00E54EB3">
        <w:rPr>
          <w:rFonts w:ascii="Times New Roman" w:hAnsi="Times New Roman" w:cs="Times New Roman"/>
          <w:sz w:val="24"/>
          <w:szCs w:val="24"/>
        </w:rPr>
        <w:t xml:space="preserve"> Например, для подготовки сообщения к уроку «Портретная галерея великих химиков» можно предложить следующий план:</w:t>
      </w:r>
    </w:p>
    <w:p w:rsidR="005C5E3E" w:rsidRPr="00E54EB3" w:rsidRDefault="00B84A71" w:rsidP="00E54EB3">
      <w:pPr>
        <w:numPr>
          <w:ilvl w:val="0"/>
          <w:numId w:val="1"/>
        </w:numPr>
        <w:spacing w:before="240" w:line="240" w:lineRule="auto"/>
        <w:jc w:val="both"/>
        <w:rPr>
          <w:rFonts w:ascii="Times New Roman" w:hAnsi="Times New Roman" w:cs="Times New Roman"/>
          <w:sz w:val="24"/>
          <w:szCs w:val="24"/>
        </w:rPr>
      </w:pPr>
      <w:r w:rsidRPr="00E54EB3">
        <w:rPr>
          <w:rFonts w:ascii="Times New Roman" w:hAnsi="Times New Roman" w:cs="Times New Roman"/>
          <w:sz w:val="24"/>
          <w:szCs w:val="24"/>
        </w:rPr>
        <w:t>открытие ученого, сделавшее его имя известным;</w:t>
      </w:r>
    </w:p>
    <w:p w:rsidR="005C5E3E" w:rsidRPr="00E54EB3" w:rsidRDefault="00B84A71" w:rsidP="00E54EB3">
      <w:pPr>
        <w:numPr>
          <w:ilvl w:val="0"/>
          <w:numId w:val="1"/>
        </w:numPr>
        <w:spacing w:before="240" w:line="240" w:lineRule="auto"/>
        <w:jc w:val="both"/>
        <w:rPr>
          <w:rFonts w:ascii="Times New Roman" w:hAnsi="Times New Roman" w:cs="Times New Roman"/>
          <w:sz w:val="24"/>
          <w:szCs w:val="24"/>
        </w:rPr>
      </w:pPr>
      <w:r w:rsidRPr="00E54EB3">
        <w:rPr>
          <w:rFonts w:ascii="Times New Roman" w:hAnsi="Times New Roman" w:cs="Times New Roman"/>
          <w:sz w:val="24"/>
          <w:szCs w:val="24"/>
        </w:rPr>
        <w:t>краткая библиографическая справка;</w:t>
      </w:r>
    </w:p>
    <w:p w:rsidR="005C5E3E" w:rsidRPr="00E54EB3" w:rsidRDefault="00B84A71" w:rsidP="00E54EB3">
      <w:pPr>
        <w:numPr>
          <w:ilvl w:val="0"/>
          <w:numId w:val="1"/>
        </w:numPr>
        <w:spacing w:before="240" w:line="240" w:lineRule="auto"/>
        <w:jc w:val="both"/>
        <w:rPr>
          <w:rFonts w:ascii="Times New Roman" w:hAnsi="Times New Roman" w:cs="Times New Roman"/>
          <w:sz w:val="24"/>
          <w:szCs w:val="24"/>
        </w:rPr>
      </w:pPr>
      <w:r w:rsidRPr="00E54EB3">
        <w:rPr>
          <w:rFonts w:ascii="Times New Roman" w:hAnsi="Times New Roman" w:cs="Times New Roman"/>
          <w:sz w:val="24"/>
          <w:szCs w:val="24"/>
        </w:rPr>
        <w:t>описание одного из открытий (уравнение реакции, значение, применение);</w:t>
      </w:r>
    </w:p>
    <w:p w:rsidR="005C5E3E" w:rsidRPr="00E54EB3" w:rsidRDefault="00B84A71" w:rsidP="00E54EB3">
      <w:pPr>
        <w:numPr>
          <w:ilvl w:val="0"/>
          <w:numId w:val="1"/>
        </w:numPr>
        <w:spacing w:before="240" w:line="240" w:lineRule="auto"/>
        <w:jc w:val="both"/>
        <w:rPr>
          <w:rFonts w:ascii="Times New Roman" w:hAnsi="Times New Roman" w:cs="Times New Roman"/>
          <w:sz w:val="24"/>
          <w:szCs w:val="24"/>
        </w:rPr>
      </w:pPr>
      <w:r w:rsidRPr="00E54EB3">
        <w:rPr>
          <w:rFonts w:ascii="Times New Roman" w:hAnsi="Times New Roman" w:cs="Times New Roman"/>
          <w:sz w:val="24"/>
          <w:szCs w:val="24"/>
        </w:rPr>
        <w:t>другие интересные работы ученого.</w:t>
      </w:r>
    </w:p>
    <w:p w:rsidR="00851D43" w:rsidRPr="00851D43" w:rsidRDefault="00851D43" w:rsidP="00851D43">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D48">
        <w:rPr>
          <w:rFonts w:ascii="Times New Roman" w:hAnsi="Times New Roman" w:cs="Times New Roman"/>
          <w:sz w:val="24"/>
          <w:szCs w:val="24"/>
        </w:rPr>
        <w:t>Таким образом, каждый ребенок имеет возможность успешно выступить перед одноклассниками.</w:t>
      </w:r>
    </w:p>
    <w:p w:rsidR="004C6D87" w:rsidRPr="004C6D87" w:rsidRDefault="004C6D87" w:rsidP="004C6D87">
      <w:pPr>
        <w:spacing w:before="240" w:line="240" w:lineRule="auto"/>
        <w:jc w:val="both"/>
        <w:rPr>
          <w:rFonts w:ascii="Times New Roman" w:hAnsi="Times New Roman" w:cs="Times New Roman"/>
          <w:sz w:val="24"/>
          <w:szCs w:val="24"/>
        </w:rPr>
      </w:pPr>
      <w:r w:rsidRPr="004C6D87">
        <w:rPr>
          <w:rFonts w:ascii="Times New Roman" w:hAnsi="Times New Roman" w:cs="Times New Roman"/>
          <w:i/>
          <w:sz w:val="24"/>
          <w:szCs w:val="24"/>
        </w:rPr>
        <w:t>4.</w:t>
      </w:r>
      <w:r w:rsidR="00272D48">
        <w:rPr>
          <w:rFonts w:ascii="Times New Roman" w:hAnsi="Times New Roman" w:cs="Times New Roman"/>
          <w:i/>
          <w:sz w:val="24"/>
          <w:szCs w:val="24"/>
        </w:rPr>
        <w:t xml:space="preserve"> </w:t>
      </w:r>
      <w:r w:rsidRPr="004C6D87">
        <w:rPr>
          <w:rFonts w:ascii="Times New Roman" w:hAnsi="Times New Roman" w:cs="Times New Roman"/>
          <w:i/>
          <w:sz w:val="24"/>
          <w:szCs w:val="24"/>
        </w:rPr>
        <w:t xml:space="preserve">Использование эмпирических методов познания. </w:t>
      </w:r>
      <w:r w:rsidRPr="004C6D87">
        <w:rPr>
          <w:rFonts w:ascii="Times New Roman" w:hAnsi="Times New Roman" w:cs="Times New Roman"/>
          <w:sz w:val="24"/>
          <w:szCs w:val="24"/>
        </w:rPr>
        <w:t>В курсе химии и биологии особое внимание уделяется практическим и лабораторным работам. Этот вид познавательной деятельности всегда вызывает наибольший интерес у школьников. Для поддержания и стимулирования познавательной</w:t>
      </w:r>
      <w:r w:rsidR="00851D43">
        <w:rPr>
          <w:rFonts w:ascii="Times New Roman" w:hAnsi="Times New Roman" w:cs="Times New Roman"/>
          <w:sz w:val="24"/>
          <w:szCs w:val="24"/>
        </w:rPr>
        <w:t xml:space="preserve"> </w:t>
      </w:r>
      <w:r w:rsidRPr="004C6D87">
        <w:rPr>
          <w:rFonts w:ascii="Times New Roman" w:hAnsi="Times New Roman" w:cs="Times New Roman"/>
          <w:sz w:val="24"/>
          <w:szCs w:val="24"/>
        </w:rPr>
        <w:t>активности я использую домашние лабораторные работы. В курсе биологии домашние эксперименты описан</w:t>
      </w:r>
      <w:r w:rsidR="00272D48">
        <w:rPr>
          <w:rFonts w:ascii="Times New Roman" w:hAnsi="Times New Roman" w:cs="Times New Roman"/>
          <w:sz w:val="24"/>
          <w:szCs w:val="24"/>
        </w:rPr>
        <w:t>ы в учебниках. На уроках химии</w:t>
      </w:r>
      <w:r w:rsidRPr="004C6D87">
        <w:rPr>
          <w:rFonts w:ascii="Times New Roman" w:hAnsi="Times New Roman" w:cs="Times New Roman"/>
          <w:sz w:val="24"/>
          <w:szCs w:val="24"/>
        </w:rPr>
        <w:t xml:space="preserve"> </w:t>
      </w:r>
      <w:r w:rsidR="00272D48">
        <w:rPr>
          <w:rFonts w:ascii="Times New Roman" w:hAnsi="Times New Roman" w:cs="Times New Roman"/>
          <w:sz w:val="24"/>
          <w:szCs w:val="24"/>
        </w:rPr>
        <w:t>п</w:t>
      </w:r>
      <w:r w:rsidRPr="004C6D87">
        <w:rPr>
          <w:rFonts w:ascii="Times New Roman" w:hAnsi="Times New Roman" w:cs="Times New Roman"/>
          <w:sz w:val="24"/>
          <w:szCs w:val="24"/>
        </w:rPr>
        <w:t xml:space="preserve">редварительно учащиеся получают необходимые теоретические знания. Формулируют гипотезу и цель своего исследования, получают инструкцию (или готовят ее сами), проходят инструктаж по технике безопасности. В назначенный срок приносят отчет по проделанной работе. </w:t>
      </w:r>
      <w:r w:rsidR="00272D48">
        <w:rPr>
          <w:rFonts w:ascii="Times New Roman" w:hAnsi="Times New Roman" w:cs="Times New Roman"/>
          <w:sz w:val="24"/>
          <w:szCs w:val="24"/>
        </w:rPr>
        <w:t>Домашние лабораторные работы должны быть просты в исполнении</w:t>
      </w:r>
      <w:r w:rsidR="00E54EB3">
        <w:rPr>
          <w:rFonts w:ascii="Times New Roman" w:hAnsi="Times New Roman" w:cs="Times New Roman"/>
          <w:sz w:val="24"/>
          <w:szCs w:val="24"/>
        </w:rPr>
        <w:t xml:space="preserve">, </w:t>
      </w:r>
      <w:r w:rsidR="00B84A71">
        <w:rPr>
          <w:rFonts w:ascii="Times New Roman" w:hAnsi="Times New Roman" w:cs="Times New Roman"/>
          <w:sz w:val="24"/>
          <w:szCs w:val="24"/>
        </w:rPr>
        <w:t xml:space="preserve">безопасны, </w:t>
      </w:r>
      <w:r w:rsidR="00E54EB3">
        <w:rPr>
          <w:rFonts w:ascii="Times New Roman" w:hAnsi="Times New Roman" w:cs="Times New Roman"/>
          <w:sz w:val="24"/>
          <w:szCs w:val="24"/>
        </w:rPr>
        <w:t>реактивы и обор</w:t>
      </w:r>
      <w:r w:rsidR="00B84A71">
        <w:rPr>
          <w:rFonts w:ascii="Times New Roman" w:hAnsi="Times New Roman" w:cs="Times New Roman"/>
          <w:sz w:val="24"/>
          <w:szCs w:val="24"/>
        </w:rPr>
        <w:t>у</w:t>
      </w:r>
      <w:r w:rsidR="00E54EB3">
        <w:rPr>
          <w:rFonts w:ascii="Times New Roman" w:hAnsi="Times New Roman" w:cs="Times New Roman"/>
          <w:sz w:val="24"/>
          <w:szCs w:val="24"/>
        </w:rPr>
        <w:t xml:space="preserve">дование для их проведения должны быть </w:t>
      </w:r>
      <w:proofErr w:type="gramStart"/>
      <w:r w:rsidR="00E54EB3">
        <w:rPr>
          <w:rFonts w:ascii="Times New Roman" w:hAnsi="Times New Roman" w:cs="Times New Roman"/>
          <w:sz w:val="24"/>
          <w:szCs w:val="24"/>
        </w:rPr>
        <w:t>легко доступны</w:t>
      </w:r>
      <w:proofErr w:type="gramEnd"/>
      <w:r w:rsidR="00E54EB3">
        <w:rPr>
          <w:rFonts w:ascii="Times New Roman" w:hAnsi="Times New Roman" w:cs="Times New Roman"/>
          <w:sz w:val="24"/>
          <w:szCs w:val="24"/>
        </w:rPr>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50"/>
        <w:gridCol w:w="1419"/>
        <w:gridCol w:w="4778"/>
      </w:tblGrid>
      <w:tr w:rsidR="004C6D87" w:rsidRPr="004C6D87" w:rsidTr="00812649">
        <w:trPr>
          <w:trHeight w:val="584"/>
        </w:trPr>
        <w:tc>
          <w:tcPr>
            <w:tcW w:w="2450" w:type="dxa"/>
          </w:tcPr>
          <w:p w:rsidR="004C6D87" w:rsidRPr="004C6D87" w:rsidRDefault="004C6D87" w:rsidP="004C6D87">
            <w:pPr>
              <w:spacing w:before="240" w:after="0" w:line="240" w:lineRule="auto"/>
              <w:jc w:val="both"/>
              <w:rPr>
                <w:rFonts w:ascii="Times New Roman" w:hAnsi="Times New Roman" w:cs="Times New Roman"/>
                <w:sz w:val="24"/>
                <w:szCs w:val="24"/>
              </w:rPr>
            </w:pPr>
            <w:r w:rsidRPr="004C6D87">
              <w:rPr>
                <w:rFonts w:ascii="Times New Roman" w:hAnsi="Times New Roman" w:cs="Times New Roman"/>
                <w:b/>
                <w:bCs/>
                <w:sz w:val="24"/>
                <w:szCs w:val="24"/>
              </w:rPr>
              <w:lastRenderedPageBreak/>
              <w:t>название</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b/>
                <w:bCs/>
                <w:sz w:val="24"/>
                <w:szCs w:val="24"/>
              </w:rPr>
              <w:t>класс</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b/>
                <w:bCs/>
                <w:sz w:val="24"/>
                <w:szCs w:val="24"/>
              </w:rPr>
              <w:t>Оборудование и материалы</w:t>
            </w:r>
          </w:p>
        </w:tc>
      </w:tr>
      <w:tr w:rsidR="004C6D87" w:rsidRPr="004C6D87" w:rsidTr="00812649">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Выращивание кристаллов</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8</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Медный купорос, вода, банка, чайник, нить</w:t>
            </w:r>
          </w:p>
        </w:tc>
      </w:tr>
      <w:tr w:rsidR="004C6D87" w:rsidRPr="004C6D87" w:rsidTr="00812649">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Индикаторы </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8</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Вода, компот из разных ягод и др. растворы, раствор лимонной кислоты и соды, баночки</w:t>
            </w:r>
          </w:p>
        </w:tc>
      </w:tr>
      <w:tr w:rsidR="004C6D87" w:rsidRPr="004C6D87" w:rsidTr="00812649">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Скорость реакции</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9 </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Сода, растворы лимонной кислоты и уксусной, блюдце</w:t>
            </w:r>
          </w:p>
        </w:tc>
      </w:tr>
      <w:tr w:rsidR="004C6D87" w:rsidRPr="004C6D87" w:rsidTr="00812649">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Обнаружение карбонатов</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9</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Яичная скорлупа, зола, раствор уксусной кислоты, блюдце</w:t>
            </w:r>
          </w:p>
        </w:tc>
      </w:tr>
      <w:tr w:rsidR="004C6D87" w:rsidRPr="004C6D87" w:rsidTr="00812649">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Ферменты </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9</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Раствор слюны, крахмальный клейстер, баночка, перекись водорода, сырой и отварной картофель, стакан, блюдце  </w:t>
            </w:r>
          </w:p>
        </w:tc>
      </w:tr>
      <w:tr w:rsidR="004C6D87" w:rsidRPr="004C6D87" w:rsidTr="00812649">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Определение жесткости воды</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9</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Водопроводная вода холодная, кипяченая, минеральная, раствор мыла, пипетка, баночки</w:t>
            </w:r>
          </w:p>
        </w:tc>
      </w:tr>
      <w:tr w:rsidR="004C6D87" w:rsidRPr="004C6D87" w:rsidTr="00812649">
        <w:tblPrEx>
          <w:tblLook w:val="00A0" w:firstRow="1" w:lastRow="0" w:firstColumn="1" w:lastColumn="0" w:noHBand="0" w:noVBand="0"/>
        </w:tblPrEx>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Качественная реакция на белки</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9-10</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proofErr w:type="gramStart"/>
            <w:r w:rsidRPr="004C6D87">
              <w:rPr>
                <w:rFonts w:ascii="Times New Roman" w:hAnsi="Times New Roman" w:cs="Times New Roman"/>
                <w:sz w:val="24"/>
                <w:szCs w:val="24"/>
              </w:rPr>
              <w:t>Раствор белка, бульон мясной, грибной, овощной, рыбный, щелочь («Крот»), медный купорос, баночки</w:t>
            </w:r>
            <w:proofErr w:type="gramEnd"/>
          </w:p>
        </w:tc>
      </w:tr>
      <w:tr w:rsidR="004C6D87" w:rsidRPr="004C6D87" w:rsidTr="00812649">
        <w:tblPrEx>
          <w:tblLook w:val="00A0" w:firstRow="1" w:lastRow="0" w:firstColumn="1" w:lastColumn="0" w:noHBand="0" w:noVBand="0"/>
        </w:tblPrEx>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Варим мыло</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10</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Щелочь («Крот»), не пищевая посуда, подсолнечное масло, пипетка, соль</w:t>
            </w:r>
          </w:p>
        </w:tc>
      </w:tr>
      <w:tr w:rsidR="004C6D87" w:rsidRPr="004C6D87" w:rsidTr="00812649">
        <w:tblPrEx>
          <w:tblLook w:val="00A0" w:firstRow="1" w:lastRow="0" w:firstColumn="1" w:lastColumn="0" w:noHBand="0" w:noVBand="0"/>
        </w:tblPrEx>
        <w:trPr>
          <w:trHeight w:val="584"/>
        </w:trPr>
        <w:tc>
          <w:tcPr>
            <w:tcW w:w="2450"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Обнаружение крахмала</w:t>
            </w:r>
          </w:p>
        </w:tc>
        <w:tc>
          <w:tcPr>
            <w:tcW w:w="1419"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10 </w:t>
            </w:r>
          </w:p>
        </w:tc>
        <w:tc>
          <w:tcPr>
            <w:tcW w:w="4778" w:type="dxa"/>
          </w:tcPr>
          <w:p w:rsidR="004C6D87" w:rsidRPr="004C6D87" w:rsidRDefault="004C6D87" w:rsidP="004C6D87">
            <w:pPr>
              <w:spacing w:after="0" w:line="240" w:lineRule="auto"/>
              <w:jc w:val="both"/>
              <w:rPr>
                <w:rFonts w:ascii="Times New Roman" w:hAnsi="Times New Roman" w:cs="Times New Roman"/>
                <w:sz w:val="24"/>
                <w:szCs w:val="24"/>
              </w:rPr>
            </w:pPr>
            <w:r w:rsidRPr="004C6D87">
              <w:rPr>
                <w:rFonts w:ascii="Times New Roman" w:hAnsi="Times New Roman" w:cs="Times New Roman"/>
                <w:sz w:val="24"/>
                <w:szCs w:val="24"/>
              </w:rPr>
              <w:t>Йодная настойка, вода, пипетка, баночки, различные продукты</w:t>
            </w:r>
          </w:p>
        </w:tc>
      </w:tr>
    </w:tbl>
    <w:p w:rsidR="004C6D87" w:rsidRPr="004C6D87" w:rsidRDefault="004C6D87" w:rsidP="004C6D87">
      <w:pPr>
        <w:spacing w:after="0" w:line="240" w:lineRule="auto"/>
        <w:jc w:val="both"/>
        <w:rPr>
          <w:rFonts w:ascii="Times New Roman" w:hAnsi="Times New Roman" w:cs="Times New Roman"/>
          <w:sz w:val="24"/>
          <w:szCs w:val="24"/>
        </w:rPr>
      </w:pPr>
    </w:p>
    <w:p w:rsidR="004C6D87" w:rsidRPr="004C6D87" w:rsidRDefault="00851D43" w:rsidP="004C6D87">
      <w:pPr>
        <w:spacing w:line="240" w:lineRule="auto"/>
        <w:jc w:val="both"/>
        <w:rPr>
          <w:rFonts w:ascii="Times New Roman" w:hAnsi="Times New Roman" w:cs="Times New Roman"/>
          <w:sz w:val="24"/>
          <w:szCs w:val="24"/>
        </w:rPr>
      </w:pPr>
      <w:r>
        <w:rPr>
          <w:rFonts w:ascii="Times New Roman" w:hAnsi="Times New Roman" w:cs="Times New Roman"/>
          <w:i/>
          <w:sz w:val="24"/>
          <w:szCs w:val="24"/>
        </w:rPr>
        <w:t>5</w:t>
      </w:r>
      <w:r w:rsidR="004C6D87" w:rsidRPr="004C6D87">
        <w:rPr>
          <w:rFonts w:ascii="Times New Roman" w:hAnsi="Times New Roman" w:cs="Times New Roman"/>
          <w:i/>
          <w:sz w:val="24"/>
          <w:szCs w:val="24"/>
        </w:rPr>
        <w:t>. Внеурочная и внеклассная деятельность</w:t>
      </w:r>
      <w:r>
        <w:rPr>
          <w:rFonts w:ascii="Times New Roman" w:hAnsi="Times New Roman" w:cs="Times New Roman"/>
          <w:i/>
          <w:sz w:val="24"/>
          <w:szCs w:val="24"/>
        </w:rPr>
        <w:t xml:space="preserve"> </w:t>
      </w:r>
      <w:r w:rsidR="004C6D87" w:rsidRPr="004C6D87">
        <w:rPr>
          <w:rFonts w:ascii="Times New Roman" w:hAnsi="Times New Roman" w:cs="Times New Roman"/>
          <w:sz w:val="24"/>
          <w:szCs w:val="24"/>
        </w:rPr>
        <w:t>играют большую роль</w:t>
      </w:r>
      <w:r>
        <w:rPr>
          <w:rFonts w:ascii="Times New Roman" w:hAnsi="Times New Roman" w:cs="Times New Roman"/>
          <w:sz w:val="24"/>
          <w:szCs w:val="24"/>
        </w:rPr>
        <w:t xml:space="preserve"> </w:t>
      </w:r>
      <w:r w:rsidR="004C6D87" w:rsidRPr="004C6D87">
        <w:rPr>
          <w:rFonts w:ascii="Times New Roman" w:hAnsi="Times New Roman" w:cs="Times New Roman"/>
          <w:sz w:val="24"/>
          <w:szCs w:val="24"/>
        </w:rPr>
        <w:t>в формировании познавательной мотивации. Участие в научно-практических конференциях, олимпиадах, проектах позволяет учащимся более полно реализовать свой потенциал, развить творческие и практические умения. На занятиях кружка учащиеся совершенствуют свои знания, умения и навыки, убеждаются в практическом значении знаний, приобретают дополнительную информацию.</w:t>
      </w:r>
      <w:r>
        <w:rPr>
          <w:rFonts w:ascii="Times New Roman" w:hAnsi="Times New Roman" w:cs="Times New Roman"/>
          <w:sz w:val="24"/>
          <w:szCs w:val="24"/>
        </w:rPr>
        <w:t xml:space="preserve"> Старшие учащиеся могут готовить и проводить КВНы для младших школьников, показывать несложные опыты на внеурочной деятельности, проводить фрагменты внеурочных занятий.</w:t>
      </w:r>
    </w:p>
    <w:p w:rsidR="004C6D87" w:rsidRPr="004C6D87" w:rsidRDefault="004C6D87" w:rsidP="004C6D87">
      <w:pPr>
        <w:spacing w:after="240" w:line="240" w:lineRule="auto"/>
        <w:jc w:val="both"/>
        <w:rPr>
          <w:rFonts w:ascii="Times New Roman" w:hAnsi="Times New Roman" w:cs="Times New Roman"/>
          <w:sz w:val="24"/>
          <w:szCs w:val="24"/>
        </w:rPr>
      </w:pPr>
      <w:r w:rsidRPr="004C6D87">
        <w:rPr>
          <w:rFonts w:ascii="Times New Roman" w:hAnsi="Times New Roman" w:cs="Times New Roman"/>
          <w:sz w:val="24"/>
          <w:szCs w:val="24"/>
        </w:rPr>
        <w:t xml:space="preserve">Для анализа результативности применяемых методик и технологий для активизации познавательной мотивации учащихся </w:t>
      </w:r>
      <w:r w:rsidR="00851D43">
        <w:rPr>
          <w:rFonts w:ascii="Times New Roman" w:hAnsi="Times New Roman" w:cs="Times New Roman"/>
          <w:sz w:val="24"/>
          <w:szCs w:val="24"/>
        </w:rPr>
        <w:t>можно использовать</w:t>
      </w:r>
      <w:r w:rsidRPr="004C6D87">
        <w:rPr>
          <w:rFonts w:ascii="Times New Roman" w:hAnsi="Times New Roman" w:cs="Times New Roman"/>
          <w:sz w:val="24"/>
          <w:szCs w:val="24"/>
        </w:rPr>
        <w:t xml:space="preserve"> метод наблюдения за проявлениями познавательной мотивации.</w:t>
      </w:r>
      <w:r w:rsidR="00E54EB3">
        <w:rPr>
          <w:rFonts w:ascii="Times New Roman" w:hAnsi="Times New Roman" w:cs="Times New Roman"/>
          <w:sz w:val="24"/>
          <w:szCs w:val="24"/>
        </w:rPr>
        <w:t xml:space="preserve"> </w:t>
      </w:r>
      <w:r w:rsidR="00851D43">
        <w:rPr>
          <w:rFonts w:ascii="Times New Roman" w:hAnsi="Times New Roman" w:cs="Times New Roman"/>
          <w:sz w:val="24"/>
          <w:szCs w:val="24"/>
        </w:rPr>
        <w:t>Применение</w:t>
      </w:r>
      <w:r w:rsidRPr="004C6D87">
        <w:rPr>
          <w:rFonts w:ascii="Times New Roman" w:hAnsi="Times New Roman" w:cs="Times New Roman"/>
          <w:sz w:val="24"/>
          <w:szCs w:val="24"/>
        </w:rPr>
        <w:t xml:space="preserve"> метода наблюдения дает возможность собрать факты в их живой взаимосвязи, проследить процесс становления и развития интересов учащихся. </w:t>
      </w:r>
      <w:r w:rsidR="00851D43">
        <w:rPr>
          <w:rFonts w:ascii="Times New Roman" w:hAnsi="Times New Roman" w:cs="Times New Roman"/>
          <w:sz w:val="24"/>
          <w:szCs w:val="24"/>
        </w:rPr>
        <w:t>Диагностику можно проводить по</w:t>
      </w:r>
      <w:r w:rsidRPr="004C6D87">
        <w:rPr>
          <w:rFonts w:ascii="Times New Roman" w:hAnsi="Times New Roman" w:cs="Times New Roman"/>
          <w:sz w:val="24"/>
          <w:szCs w:val="24"/>
        </w:rPr>
        <w:t xml:space="preserve"> следующим критериям, которые предложила использовать Г.И. Щукина:</w:t>
      </w:r>
    </w:p>
    <w:p w:rsidR="00851D43" w:rsidRPr="00851D43" w:rsidRDefault="004C6D87" w:rsidP="00851D43">
      <w:pPr>
        <w:spacing w:after="240" w:line="240" w:lineRule="auto"/>
        <w:jc w:val="both"/>
        <w:rPr>
          <w:rFonts w:ascii="Times New Roman" w:hAnsi="Times New Roman" w:cs="Times New Roman"/>
          <w:sz w:val="24"/>
          <w:szCs w:val="24"/>
        </w:rPr>
      </w:pPr>
      <w:r w:rsidRPr="004C6D87">
        <w:rPr>
          <w:rFonts w:ascii="Times New Roman" w:hAnsi="Times New Roman" w:cs="Times New Roman"/>
          <w:sz w:val="24"/>
          <w:szCs w:val="24"/>
        </w:rPr>
        <w:t>1.</w:t>
      </w:r>
      <w:r w:rsidRPr="004C6D87">
        <w:rPr>
          <w:rFonts w:ascii="Times New Roman" w:hAnsi="Times New Roman" w:cs="Times New Roman"/>
          <w:sz w:val="24"/>
          <w:szCs w:val="24"/>
        </w:rPr>
        <w:tab/>
      </w:r>
      <w:r w:rsidR="00851D43" w:rsidRPr="00851D43">
        <w:rPr>
          <w:rFonts w:ascii="Times New Roman" w:hAnsi="Times New Roman" w:cs="Times New Roman"/>
          <w:sz w:val="24"/>
          <w:szCs w:val="24"/>
        </w:rPr>
        <w:t>Активно ли школьник включается в учебную деятельность;</w:t>
      </w:r>
    </w:p>
    <w:p w:rsidR="00851D43" w:rsidRPr="00851D43" w:rsidRDefault="00851D43" w:rsidP="00851D43">
      <w:pPr>
        <w:spacing w:after="240" w:line="240" w:lineRule="auto"/>
        <w:jc w:val="both"/>
        <w:rPr>
          <w:rFonts w:ascii="Times New Roman" w:hAnsi="Times New Roman" w:cs="Times New Roman"/>
          <w:sz w:val="24"/>
          <w:szCs w:val="24"/>
        </w:rPr>
      </w:pPr>
      <w:r w:rsidRPr="00851D43">
        <w:rPr>
          <w:rFonts w:ascii="Times New Roman" w:hAnsi="Times New Roman" w:cs="Times New Roman"/>
          <w:sz w:val="24"/>
          <w:szCs w:val="24"/>
        </w:rPr>
        <w:t>2.</w:t>
      </w:r>
      <w:r w:rsidRPr="00851D43">
        <w:rPr>
          <w:rFonts w:ascii="Times New Roman" w:hAnsi="Times New Roman" w:cs="Times New Roman"/>
          <w:sz w:val="24"/>
          <w:szCs w:val="24"/>
        </w:rPr>
        <w:tab/>
        <w:t>Отвлекается ли ребенок на уроке;</w:t>
      </w:r>
    </w:p>
    <w:p w:rsidR="00851D43" w:rsidRPr="00851D43" w:rsidRDefault="00851D43" w:rsidP="00851D43">
      <w:pPr>
        <w:spacing w:after="240" w:line="240" w:lineRule="auto"/>
        <w:jc w:val="both"/>
        <w:rPr>
          <w:rFonts w:ascii="Times New Roman" w:hAnsi="Times New Roman" w:cs="Times New Roman"/>
          <w:sz w:val="24"/>
          <w:szCs w:val="24"/>
        </w:rPr>
      </w:pPr>
      <w:r w:rsidRPr="00851D43">
        <w:rPr>
          <w:rFonts w:ascii="Times New Roman" w:hAnsi="Times New Roman" w:cs="Times New Roman"/>
          <w:sz w:val="24"/>
          <w:szCs w:val="24"/>
        </w:rPr>
        <w:t>3.</w:t>
      </w:r>
      <w:r w:rsidRPr="00851D43">
        <w:rPr>
          <w:rFonts w:ascii="Times New Roman" w:hAnsi="Times New Roman" w:cs="Times New Roman"/>
          <w:sz w:val="24"/>
          <w:szCs w:val="24"/>
        </w:rPr>
        <w:tab/>
        <w:t>Сосредоточенность произвольного внимания;</w:t>
      </w:r>
    </w:p>
    <w:p w:rsidR="00851D43" w:rsidRPr="00851D43" w:rsidRDefault="00851D43" w:rsidP="00851D43">
      <w:pPr>
        <w:spacing w:after="240" w:line="240" w:lineRule="auto"/>
        <w:jc w:val="both"/>
        <w:rPr>
          <w:rFonts w:ascii="Times New Roman" w:hAnsi="Times New Roman" w:cs="Times New Roman"/>
          <w:sz w:val="24"/>
          <w:szCs w:val="24"/>
        </w:rPr>
      </w:pPr>
      <w:r w:rsidRPr="00851D43">
        <w:rPr>
          <w:rFonts w:ascii="Times New Roman" w:hAnsi="Times New Roman" w:cs="Times New Roman"/>
          <w:sz w:val="24"/>
          <w:szCs w:val="24"/>
        </w:rPr>
        <w:t>4.</w:t>
      </w:r>
      <w:r w:rsidRPr="00851D43">
        <w:rPr>
          <w:rFonts w:ascii="Times New Roman" w:hAnsi="Times New Roman" w:cs="Times New Roman"/>
          <w:sz w:val="24"/>
          <w:szCs w:val="24"/>
        </w:rPr>
        <w:tab/>
        <w:t>уровень</w:t>
      </w:r>
      <w:r w:rsidR="00E54EB3">
        <w:rPr>
          <w:rFonts w:ascii="Times New Roman" w:hAnsi="Times New Roman" w:cs="Times New Roman"/>
          <w:sz w:val="24"/>
          <w:szCs w:val="24"/>
        </w:rPr>
        <w:t xml:space="preserve"> с</w:t>
      </w:r>
      <w:r w:rsidRPr="00851D43">
        <w:rPr>
          <w:rFonts w:ascii="Times New Roman" w:hAnsi="Times New Roman" w:cs="Times New Roman"/>
          <w:sz w:val="24"/>
          <w:szCs w:val="24"/>
        </w:rPr>
        <w:t>амостоятельности при  выполнении</w:t>
      </w:r>
      <w:r w:rsidR="00E54EB3">
        <w:rPr>
          <w:rFonts w:ascii="Times New Roman" w:hAnsi="Times New Roman" w:cs="Times New Roman"/>
          <w:sz w:val="24"/>
          <w:szCs w:val="24"/>
        </w:rPr>
        <w:t xml:space="preserve"> познавательной задачи;</w:t>
      </w:r>
    </w:p>
    <w:p w:rsidR="00851D43" w:rsidRPr="00851D43" w:rsidRDefault="00851D43" w:rsidP="00851D43">
      <w:pPr>
        <w:spacing w:after="240" w:line="240" w:lineRule="auto"/>
        <w:jc w:val="both"/>
        <w:rPr>
          <w:rFonts w:ascii="Times New Roman" w:hAnsi="Times New Roman" w:cs="Times New Roman"/>
          <w:sz w:val="24"/>
          <w:szCs w:val="24"/>
        </w:rPr>
      </w:pPr>
      <w:r w:rsidRPr="00851D43">
        <w:rPr>
          <w:rFonts w:ascii="Times New Roman" w:hAnsi="Times New Roman" w:cs="Times New Roman"/>
          <w:sz w:val="24"/>
          <w:szCs w:val="24"/>
        </w:rPr>
        <w:t>5.</w:t>
      </w:r>
      <w:r w:rsidRPr="00851D43">
        <w:rPr>
          <w:rFonts w:ascii="Times New Roman" w:hAnsi="Times New Roman" w:cs="Times New Roman"/>
          <w:sz w:val="24"/>
          <w:szCs w:val="24"/>
        </w:rPr>
        <w:tab/>
        <w:t>Эмоциональная реакция учащихся;</w:t>
      </w:r>
    </w:p>
    <w:p w:rsidR="00FD4968" w:rsidRPr="00FD4968" w:rsidRDefault="00851D43" w:rsidP="00FD4968">
      <w:pPr>
        <w:spacing w:after="240" w:line="240" w:lineRule="auto"/>
        <w:jc w:val="both"/>
        <w:rPr>
          <w:rFonts w:ascii="Times New Roman" w:hAnsi="Times New Roman" w:cs="Times New Roman"/>
          <w:sz w:val="24"/>
          <w:szCs w:val="24"/>
        </w:rPr>
      </w:pPr>
      <w:r w:rsidRPr="00851D43">
        <w:rPr>
          <w:rFonts w:ascii="Times New Roman" w:hAnsi="Times New Roman" w:cs="Times New Roman"/>
          <w:sz w:val="24"/>
          <w:szCs w:val="24"/>
        </w:rPr>
        <w:t>6.</w:t>
      </w:r>
      <w:r w:rsidRPr="00851D43">
        <w:rPr>
          <w:rFonts w:ascii="Times New Roman" w:hAnsi="Times New Roman" w:cs="Times New Roman"/>
          <w:sz w:val="24"/>
          <w:szCs w:val="24"/>
        </w:rPr>
        <w:tab/>
        <w:t>участие во внеклассной работе.</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i/>
          <w:iCs/>
          <w:sz w:val="24"/>
          <w:szCs w:val="24"/>
          <w:u w:val="single"/>
        </w:rPr>
        <w:lastRenderedPageBreak/>
        <w:t>Интерпретация результатов оценивается по среднему баллу выявленных критериев.</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u w:val="single"/>
        </w:rPr>
        <w:t>2 балла:</w:t>
      </w:r>
      <w:r w:rsidRPr="004C6D87">
        <w:rPr>
          <w:rFonts w:ascii="Times New Roman" w:hAnsi="Times New Roman" w:cs="Times New Roman"/>
          <w:sz w:val="24"/>
          <w:szCs w:val="24"/>
        </w:rPr>
        <w:t> данный признак часто проявляется в учебной деятельности учащихся;</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u w:val="single"/>
        </w:rPr>
        <w:t>1 балл: </w:t>
      </w:r>
      <w:r w:rsidRPr="004C6D87">
        <w:rPr>
          <w:rFonts w:ascii="Times New Roman" w:hAnsi="Times New Roman" w:cs="Times New Roman"/>
          <w:sz w:val="24"/>
          <w:szCs w:val="24"/>
        </w:rPr>
        <w:t>данный признак иногда проявляется в учебной деятельности учащихся;</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u w:val="single"/>
        </w:rPr>
        <w:t>0 баллов:</w:t>
      </w:r>
      <w:r w:rsidRPr="004C6D87">
        <w:rPr>
          <w:rFonts w:ascii="Times New Roman" w:hAnsi="Times New Roman" w:cs="Times New Roman"/>
          <w:sz w:val="24"/>
          <w:szCs w:val="24"/>
        </w:rPr>
        <w:t> данный признак очень редко или совсем не проявляется в учебной деятельности учащихся.</w:t>
      </w:r>
    </w:p>
    <w:p w:rsidR="004C6D87" w:rsidRDefault="00851D43" w:rsidP="004C6D87">
      <w:pPr>
        <w:spacing w:line="240" w:lineRule="auto"/>
        <w:jc w:val="both"/>
        <w:rPr>
          <w:rFonts w:ascii="Times New Roman" w:hAnsi="Times New Roman" w:cs="Times New Roman"/>
          <w:sz w:val="24"/>
          <w:szCs w:val="24"/>
        </w:rPr>
      </w:pPr>
      <w:r>
        <w:rPr>
          <w:rFonts w:ascii="Times New Roman" w:hAnsi="Times New Roman" w:cs="Times New Roman"/>
          <w:sz w:val="24"/>
          <w:szCs w:val="24"/>
        </w:rPr>
        <w:t>Рассчитывается</w:t>
      </w:r>
      <w:r w:rsidRPr="00851D43">
        <w:rPr>
          <w:rFonts w:ascii="Times New Roman" w:hAnsi="Times New Roman" w:cs="Times New Roman"/>
          <w:sz w:val="24"/>
          <w:szCs w:val="24"/>
        </w:rPr>
        <w:t xml:space="preserve"> среднее значение проявления каждого признака по каждому ребенку</w:t>
      </w:r>
      <w:r>
        <w:rPr>
          <w:rFonts w:ascii="Times New Roman" w:hAnsi="Times New Roman" w:cs="Times New Roman"/>
          <w:sz w:val="24"/>
          <w:szCs w:val="24"/>
        </w:rPr>
        <w:t>.</w:t>
      </w:r>
      <w:r w:rsidRPr="00851D43">
        <w:rPr>
          <w:rFonts w:ascii="Times New Roman" w:hAnsi="Times New Roman" w:cs="Times New Roman"/>
          <w:sz w:val="24"/>
          <w:szCs w:val="24"/>
        </w:rPr>
        <w:t xml:space="preserve"> </w:t>
      </w:r>
      <w:r>
        <w:rPr>
          <w:rFonts w:ascii="Times New Roman" w:hAnsi="Times New Roman" w:cs="Times New Roman"/>
          <w:sz w:val="24"/>
          <w:szCs w:val="24"/>
        </w:rPr>
        <w:t xml:space="preserve">Диагностику необходимо проводить в начале и конце учебного года. </w:t>
      </w:r>
      <w:r w:rsidR="004C6D87" w:rsidRPr="004C6D87">
        <w:rPr>
          <w:rFonts w:ascii="Times New Roman" w:hAnsi="Times New Roman" w:cs="Times New Roman"/>
          <w:sz w:val="24"/>
          <w:szCs w:val="24"/>
        </w:rPr>
        <w:t>Повышение среднего балла к концу учебного года говорит о положительной динамике в формировании познавательной мотивации.</w:t>
      </w:r>
    </w:p>
    <w:p w:rsidR="00E54EB3" w:rsidRPr="004C6D87" w:rsidRDefault="00E54EB3" w:rsidP="004C6D87">
      <w:pPr>
        <w:spacing w:line="240" w:lineRule="auto"/>
        <w:jc w:val="both"/>
        <w:rPr>
          <w:rFonts w:ascii="Times New Roman" w:hAnsi="Times New Roman" w:cs="Times New Roman"/>
          <w:sz w:val="24"/>
          <w:szCs w:val="24"/>
        </w:rPr>
      </w:pPr>
      <w:r>
        <w:rPr>
          <w:rFonts w:ascii="Times New Roman" w:hAnsi="Times New Roman" w:cs="Times New Roman"/>
          <w:sz w:val="24"/>
          <w:szCs w:val="24"/>
        </w:rPr>
        <w:t>Мне кажется, что описанные мной методики носят универсальный характер и могут быть использованы на уроках любой направленности.</w:t>
      </w:r>
    </w:p>
    <w:p w:rsidR="004C6D87" w:rsidRPr="004C6D87" w:rsidRDefault="004C6D87" w:rsidP="004C6D87">
      <w:pPr>
        <w:spacing w:line="240" w:lineRule="auto"/>
        <w:jc w:val="both"/>
        <w:rPr>
          <w:rFonts w:ascii="Times New Roman" w:hAnsi="Times New Roman" w:cs="Times New Roman"/>
          <w:b/>
          <w:sz w:val="24"/>
          <w:szCs w:val="24"/>
        </w:rPr>
      </w:pPr>
      <w:bookmarkStart w:id="1" w:name="_Toc495434705"/>
      <w:r w:rsidRPr="004C6D87">
        <w:rPr>
          <w:rFonts w:ascii="Times New Roman" w:hAnsi="Times New Roman" w:cs="Times New Roman"/>
          <w:b/>
          <w:sz w:val="24"/>
          <w:szCs w:val="24"/>
        </w:rPr>
        <w:t>Список литературы:</w:t>
      </w:r>
      <w:bookmarkEnd w:id="1"/>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1. Маркова А.К. Формирование мотивации учения в школьном возрасте: Пособие для учителя</w:t>
      </w:r>
      <w:proofErr w:type="gramStart"/>
      <w:r w:rsidRPr="004C6D87">
        <w:rPr>
          <w:rFonts w:ascii="Times New Roman" w:hAnsi="Times New Roman" w:cs="Times New Roman"/>
          <w:sz w:val="24"/>
          <w:szCs w:val="24"/>
        </w:rPr>
        <w:t xml:space="preserve"> –– </w:t>
      </w:r>
      <w:proofErr w:type="gramEnd"/>
      <w:r w:rsidRPr="004C6D87">
        <w:rPr>
          <w:rFonts w:ascii="Times New Roman" w:hAnsi="Times New Roman" w:cs="Times New Roman"/>
          <w:sz w:val="24"/>
          <w:szCs w:val="24"/>
        </w:rPr>
        <w:t>М.: Просвещение, 1983. – 96 с.</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2. Маркова А. К., Орлов А. Б., Фридман Л. М.. Мотивация учения и ее воспитание у школьников. – Просвещение,1983.</w:t>
      </w:r>
    </w:p>
    <w:p w:rsidR="004C6D87" w:rsidRPr="004C6D87" w:rsidRDefault="004C6D87" w:rsidP="004C6D87">
      <w:pPr>
        <w:spacing w:line="240" w:lineRule="auto"/>
        <w:jc w:val="both"/>
        <w:rPr>
          <w:rFonts w:ascii="Times New Roman" w:hAnsi="Times New Roman" w:cs="Times New Roman"/>
          <w:sz w:val="24"/>
          <w:szCs w:val="24"/>
        </w:rPr>
      </w:pPr>
      <w:r w:rsidRPr="004C6D87">
        <w:rPr>
          <w:rFonts w:ascii="Times New Roman" w:hAnsi="Times New Roman" w:cs="Times New Roman"/>
          <w:sz w:val="24"/>
          <w:szCs w:val="24"/>
        </w:rPr>
        <w:t>3. Щукина Г.И. Проблема познавательного интереса в педагогике / </w:t>
      </w:r>
      <w:r w:rsidRPr="004C6D87">
        <w:rPr>
          <w:rFonts w:ascii="Times New Roman" w:hAnsi="Times New Roman" w:cs="Times New Roman"/>
          <w:bCs/>
          <w:sz w:val="24"/>
          <w:szCs w:val="24"/>
        </w:rPr>
        <w:t>Г.И. Щукина</w:t>
      </w:r>
      <w:r w:rsidRPr="004C6D87">
        <w:rPr>
          <w:rFonts w:ascii="Times New Roman" w:hAnsi="Times New Roman" w:cs="Times New Roman"/>
          <w:sz w:val="24"/>
          <w:szCs w:val="24"/>
        </w:rPr>
        <w:t>. – Москва: Педагогика, 1971. – 352 с.</w:t>
      </w:r>
      <w:proofErr w:type="gramStart"/>
      <w:r w:rsidRPr="004C6D87">
        <w:rPr>
          <w:rFonts w:ascii="Times New Roman" w:hAnsi="Times New Roman" w:cs="Times New Roman"/>
          <w:sz w:val="24"/>
          <w:szCs w:val="24"/>
        </w:rPr>
        <w:t xml:space="preserve"> :</w:t>
      </w:r>
      <w:proofErr w:type="gramEnd"/>
      <w:r w:rsidRPr="004C6D87">
        <w:rPr>
          <w:rFonts w:ascii="Times New Roman" w:hAnsi="Times New Roman" w:cs="Times New Roman"/>
          <w:sz w:val="24"/>
          <w:szCs w:val="24"/>
        </w:rPr>
        <w:t xml:space="preserve"> ил. </w:t>
      </w:r>
    </w:p>
    <w:p w:rsidR="00A72A1A" w:rsidRPr="004C6D87" w:rsidRDefault="00A72A1A">
      <w:pPr>
        <w:rPr>
          <w:rFonts w:ascii="Times New Roman" w:hAnsi="Times New Roman" w:cs="Times New Roman"/>
          <w:sz w:val="24"/>
          <w:szCs w:val="24"/>
        </w:rPr>
      </w:pPr>
    </w:p>
    <w:sectPr w:rsidR="00A72A1A" w:rsidRPr="004C6D87" w:rsidSect="00766D4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D0A4C"/>
    <w:multiLevelType w:val="hybridMultilevel"/>
    <w:tmpl w:val="6AEC50D2"/>
    <w:lvl w:ilvl="0" w:tplc="F6D61EEE">
      <w:start w:val="1"/>
      <w:numFmt w:val="decimal"/>
      <w:lvlText w:val="%1."/>
      <w:lvlJc w:val="left"/>
      <w:pPr>
        <w:tabs>
          <w:tab w:val="num" w:pos="720"/>
        </w:tabs>
        <w:ind w:left="720" w:hanging="360"/>
      </w:pPr>
    </w:lvl>
    <w:lvl w:ilvl="1" w:tplc="FC167DEA" w:tentative="1">
      <w:start w:val="1"/>
      <w:numFmt w:val="decimal"/>
      <w:lvlText w:val="%2."/>
      <w:lvlJc w:val="left"/>
      <w:pPr>
        <w:tabs>
          <w:tab w:val="num" w:pos="1440"/>
        </w:tabs>
        <w:ind w:left="1440" w:hanging="360"/>
      </w:pPr>
    </w:lvl>
    <w:lvl w:ilvl="2" w:tplc="00ECE076" w:tentative="1">
      <w:start w:val="1"/>
      <w:numFmt w:val="decimal"/>
      <w:lvlText w:val="%3."/>
      <w:lvlJc w:val="left"/>
      <w:pPr>
        <w:tabs>
          <w:tab w:val="num" w:pos="2160"/>
        </w:tabs>
        <w:ind w:left="2160" w:hanging="360"/>
      </w:pPr>
    </w:lvl>
    <w:lvl w:ilvl="3" w:tplc="C6E26258" w:tentative="1">
      <w:start w:val="1"/>
      <w:numFmt w:val="decimal"/>
      <w:lvlText w:val="%4."/>
      <w:lvlJc w:val="left"/>
      <w:pPr>
        <w:tabs>
          <w:tab w:val="num" w:pos="2880"/>
        </w:tabs>
        <w:ind w:left="2880" w:hanging="360"/>
      </w:pPr>
    </w:lvl>
    <w:lvl w:ilvl="4" w:tplc="59BACA60" w:tentative="1">
      <w:start w:val="1"/>
      <w:numFmt w:val="decimal"/>
      <w:lvlText w:val="%5."/>
      <w:lvlJc w:val="left"/>
      <w:pPr>
        <w:tabs>
          <w:tab w:val="num" w:pos="3600"/>
        </w:tabs>
        <w:ind w:left="3600" w:hanging="360"/>
      </w:pPr>
    </w:lvl>
    <w:lvl w:ilvl="5" w:tplc="5FAEEB5E" w:tentative="1">
      <w:start w:val="1"/>
      <w:numFmt w:val="decimal"/>
      <w:lvlText w:val="%6."/>
      <w:lvlJc w:val="left"/>
      <w:pPr>
        <w:tabs>
          <w:tab w:val="num" w:pos="4320"/>
        </w:tabs>
        <w:ind w:left="4320" w:hanging="360"/>
      </w:pPr>
    </w:lvl>
    <w:lvl w:ilvl="6" w:tplc="F4DC3B8C" w:tentative="1">
      <w:start w:val="1"/>
      <w:numFmt w:val="decimal"/>
      <w:lvlText w:val="%7."/>
      <w:lvlJc w:val="left"/>
      <w:pPr>
        <w:tabs>
          <w:tab w:val="num" w:pos="5040"/>
        </w:tabs>
        <w:ind w:left="5040" w:hanging="360"/>
      </w:pPr>
    </w:lvl>
    <w:lvl w:ilvl="7" w:tplc="DC44B1C2" w:tentative="1">
      <w:start w:val="1"/>
      <w:numFmt w:val="decimal"/>
      <w:lvlText w:val="%8."/>
      <w:lvlJc w:val="left"/>
      <w:pPr>
        <w:tabs>
          <w:tab w:val="num" w:pos="5760"/>
        </w:tabs>
        <w:ind w:left="5760" w:hanging="360"/>
      </w:pPr>
    </w:lvl>
    <w:lvl w:ilvl="8" w:tplc="E3BE84A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C8"/>
    <w:rsid w:val="00073253"/>
    <w:rsid w:val="002478C8"/>
    <w:rsid w:val="00272D48"/>
    <w:rsid w:val="00425132"/>
    <w:rsid w:val="004C6D87"/>
    <w:rsid w:val="005C5E3E"/>
    <w:rsid w:val="005E3A28"/>
    <w:rsid w:val="00766D4B"/>
    <w:rsid w:val="00851D43"/>
    <w:rsid w:val="00A72A1A"/>
    <w:rsid w:val="00B84A71"/>
    <w:rsid w:val="00C1212A"/>
    <w:rsid w:val="00DA6501"/>
    <w:rsid w:val="00DD0B7E"/>
    <w:rsid w:val="00E54EB3"/>
    <w:rsid w:val="00FD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6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6D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6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6D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38260">
      <w:bodyDiv w:val="1"/>
      <w:marLeft w:val="0"/>
      <w:marRight w:val="0"/>
      <w:marTop w:val="0"/>
      <w:marBottom w:val="0"/>
      <w:divBdr>
        <w:top w:val="none" w:sz="0" w:space="0" w:color="auto"/>
        <w:left w:val="none" w:sz="0" w:space="0" w:color="auto"/>
        <w:bottom w:val="none" w:sz="0" w:space="0" w:color="auto"/>
        <w:right w:val="none" w:sz="0" w:space="0" w:color="auto"/>
      </w:divBdr>
      <w:divsChild>
        <w:div w:id="201408445">
          <w:marLeft w:val="547"/>
          <w:marRight w:val="0"/>
          <w:marTop w:val="0"/>
          <w:marBottom w:val="0"/>
          <w:divBdr>
            <w:top w:val="none" w:sz="0" w:space="0" w:color="auto"/>
            <w:left w:val="none" w:sz="0" w:space="0" w:color="auto"/>
            <w:bottom w:val="none" w:sz="0" w:space="0" w:color="auto"/>
            <w:right w:val="none" w:sz="0" w:space="0" w:color="auto"/>
          </w:divBdr>
        </w:div>
        <w:div w:id="19861622">
          <w:marLeft w:val="547"/>
          <w:marRight w:val="0"/>
          <w:marTop w:val="0"/>
          <w:marBottom w:val="0"/>
          <w:divBdr>
            <w:top w:val="none" w:sz="0" w:space="0" w:color="auto"/>
            <w:left w:val="none" w:sz="0" w:space="0" w:color="auto"/>
            <w:bottom w:val="none" w:sz="0" w:space="0" w:color="auto"/>
            <w:right w:val="none" w:sz="0" w:space="0" w:color="auto"/>
          </w:divBdr>
        </w:div>
        <w:div w:id="624887937">
          <w:marLeft w:val="547"/>
          <w:marRight w:val="0"/>
          <w:marTop w:val="0"/>
          <w:marBottom w:val="0"/>
          <w:divBdr>
            <w:top w:val="none" w:sz="0" w:space="0" w:color="auto"/>
            <w:left w:val="none" w:sz="0" w:space="0" w:color="auto"/>
            <w:bottom w:val="none" w:sz="0" w:space="0" w:color="auto"/>
            <w:right w:val="none" w:sz="0" w:space="0" w:color="auto"/>
          </w:divBdr>
        </w:div>
        <w:div w:id="8941266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Microsoft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2017-11-06T04:54:00Z</dcterms:created>
  <dcterms:modified xsi:type="dcterms:W3CDTF">2018-01-29T16:45:00Z</dcterms:modified>
</cp:coreProperties>
</file>