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91" w:rsidRDefault="00976F91" w:rsidP="00976F91">
      <w:pPr>
        <w:jc w:val="center"/>
        <w:rPr>
          <w:rFonts w:ascii="Times New Roman CYR" w:eastAsia="Times New Roman CYR" w:hAnsi="Times New Roman CYR" w:cs="Times New Roman CYR"/>
          <w:color w:val="000000"/>
          <w:spacing w:val="10"/>
          <w:sz w:val="38"/>
          <w:szCs w:val="3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pacing w:val="10"/>
          <w:sz w:val="38"/>
          <w:szCs w:val="38"/>
          <w:lang w:val="ru-RU"/>
        </w:rPr>
        <w:t>Статья:</w:t>
      </w:r>
    </w:p>
    <w:p w:rsidR="00976F91" w:rsidRDefault="00976F91" w:rsidP="00976F91">
      <w:pPr>
        <w:keepNext/>
        <w:keepLines/>
        <w:autoSpaceDE w:val="0"/>
        <w:spacing w:after="333" w:line="476" w:lineRule="atLeast"/>
        <w:ind w:left="80"/>
        <w:jc w:val="center"/>
        <w:rPr>
          <w:rFonts w:ascii="Times New Roman CYR" w:eastAsia="Times New Roman CYR" w:hAnsi="Times New Roman CYR" w:cs="Times New Roman CYR"/>
          <w:color w:val="000000"/>
          <w:spacing w:val="10"/>
          <w:sz w:val="38"/>
          <w:szCs w:val="38"/>
        </w:rPr>
      </w:pPr>
      <w:r>
        <w:rPr>
          <w:rFonts w:ascii="Times New Roman CYR" w:eastAsia="Times New Roman CYR" w:hAnsi="Times New Roman CYR" w:cs="Times New Roman CYR"/>
          <w:color w:val="000000"/>
          <w:spacing w:val="10"/>
          <w:sz w:val="38"/>
          <w:szCs w:val="38"/>
        </w:rPr>
        <w:t>"Дифференцированный подход в обучении английскому языку"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Цель уроков английского языка на начальном этапе - привить интерес к изучению иностранного языка, сформулировать учебные умения (умение вести себя на уроке, овладение фонетической и грамматической стороной речи, понимание на слух иноязычной речи, овладение навыками говорения, общения, диалогической и монологической речью).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Обучение иностранному языку требует индивидуального подхода, учитывающего способности учеников (память, речевой слух, способность к имитации и т.д.).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обучение строится на подборе индивидуальных заданий, в зависимости от способностей учеников и уровня сформированности речевых навыков и умений. На уроках используются различные учебные задания (наличие или отсутствие опор), работа в группах и парах различного состава.</w:t>
      </w:r>
    </w:p>
    <w:p w:rsidR="00976F91" w:rsidRDefault="00976F91" w:rsidP="00976F9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Различные упражнения (фонетические, грамматические), многократное повторение лексического материала, зрительные опоры, схемы помогают усвоению учебного материала. Ученики с рассеянным вниманием, плохой памятью и заторможенным восприятием усваивают учебную программу после многократного повторения, помощи со стороны учителя (дополнительные упражнения, зрительные опоры) и работы в группах (парах) с </w:t>
      </w:r>
      <w:r w:rsidRPr="00976F9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сильными</w:t>
      </w:r>
      <w:r w:rsidRPr="00976F91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учениками. Необходимо поощрять малейшие успехи учащихся, поддерживая интерес к изучению иностранного языка. Ученики, которые быстро усваивают учебный материал, привлекаются к ведению урока, проведению музыкальных и физкультурных минуток, им предлагаются индивидуальные творческие работы (сочинить и придумать стихи, загадки, оформить их, представить в классе), что способствует развитию творческих способностей учащихся.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дифференцированный подход в обучении заключается: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В подборе заданий различной сложности и объема, как на уроке, так и при </w:t>
      </w:r>
      <w:r>
        <w:rPr>
          <w:sz w:val="28"/>
          <w:szCs w:val="28"/>
        </w:rPr>
        <w:lastRenderedPageBreak/>
        <w:t>выполнении домашних заданий.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В вариативности темпа освоения учебного материала.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В организации помощи со стороны учителя и работе в парах сменного состава.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В привлечении учащихся к выполнению индивидуальных творческих заданий (проектов).</w:t>
      </w:r>
    </w:p>
    <w:p w:rsidR="00976F91" w:rsidRDefault="00976F91" w:rsidP="00976F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Такой дифференцированный подход позволяет избежать чрезмерных нагрузок и боязни языка у детей с низкой и средней степенью обучаемости, а «сильным» детям — проявить в работе самостоятельность и творчество, повышая, тем самым, и у тех, и у других интерес к изучению языка.</w:t>
      </w:r>
    </w:p>
    <w:p w:rsidR="00A875AB" w:rsidRDefault="00A875AB">
      <w:bookmarkStart w:id="0" w:name="_GoBack"/>
      <w:bookmarkEnd w:id="0"/>
    </w:p>
    <w:sectPr w:rsidR="00A875A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1"/>
    <w:rsid w:val="00976F91"/>
    <w:rsid w:val="00A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8F74-4128-4E5C-946F-66BE265F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9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2017-01-30T19:47:00Z</dcterms:created>
  <dcterms:modified xsi:type="dcterms:W3CDTF">2017-01-30T19:47:00Z</dcterms:modified>
</cp:coreProperties>
</file>